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Rebecca Longley of Wheeler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Rebecca Longley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Rebecca Longley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Longley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949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