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Bradley 3 Ranch celebrated 60 years of operation in the registered cattle business in 2018, and this occasion provides a welcome opportunity to honor its heritage and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origins of the Bradley 3 Ranch date back to the 1870s, when Rufus Jack Bradley worked as a wagon boss in the northwest Panhandle; after diligently saving his wages during 1874 and 1875, he headed south and purchased a few acres between the Wichita River and Beaver Creek in Wichita County; his ranch initially raised Longhorns and then commercial Herefords;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early 1950s, Billy Jack Bradley, Rufus's grandson, met his future wife, Minnie Lou Ottinger, who suggested that the Bradley ranch should try crossing Angus bulls with Hereford cows, a radical notion at the time; the Bradleys expanded their new black baldie herd to a second ranch in Dickens County, and after Bill returned from his service in the armed forces, he purchased a third ranch in Childress County; when he and Minnie Lou married, the Bradley 3 Ranch was born, with the name representing the third ranch and the fact that Bill and Minnie Lou were the third generation of the family to ranch in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business transitioned to raising purebred Angus cattle in the late 1950s, and over the years, operations have evolved to meet changing consumer demand; the Bradleys built a beef processing facility in 1986, producing their own branded beef products for many years before selling the facility in 2002; today, the ranch continues to be operated by Minnie Lou Bradley along with her daughter, Mary Lou Bradley-Henderson, and Mary Lou's husband, James Henderson; each has become a respected figure in the cattle industry, and Minnie Lou has been inducted into the National Cowgirl Hall of Fame and has received other notable accolades for her pioneering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six decades, the Bradley 3 Ranch has distinguished itself as a premier cattle-raising operation, and in so doing, it has furthered the rich ranching tradition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the Bradley 3 Ranch on 60 years in the registered cattle business and extend to all those associated with the enterprise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Bradley family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959 was adopted by the House on April 12,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