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Gruver High School boys' basketball team enjoyed an outstanding 2018-2019 season, advancing all the way to the University Interscholastic League 2A state championship game on March 9 at the Alamodome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claiming the District 1-2A crown, the Greyhounds reeled off consecutive playoff victories over Panhandle, Floydada, Wheeler, and Sundown High Schools; in the regional final, Gruver overwhelmed Wellington by a score of 44-26, earning a place in the state tournament for the first time since 2010;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Taking the court for their semifinal showdown against Martin's Mill High School, the Greyhounds continued their dominant play; the team took command of the game by building a 12-point advantage in the first quarter and went on to record a 55-42 win and advance to the 2A final; the Gruver players made a strong showing in the championship contest against Shelbyville but ultimately fell short to bring their season to a close with a final record of 18 wins and just 5 losses;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Excelling with a true team effort, the Greyhounds received valuable contributions throughout the year from each member of the roster: Jalin Conyers, Hunter Haynes, Connor Haynes, Keegan Kelp, Keegan Callaway, Jaedon Seagler, Creed Spivey, Ricky Gavirio, Creed Callaway, Carter Armes, Orlando Hernandez, Matthew Felderhoff, and Justin Millsap; these determined players were ably guided by head coach Andrew Brockman and assistant coaches Keith Mauldin, Chris Bird, and James Whitt;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talented student-athletes of the Gruver High basketball team distinguished themselves through their hard work and unwavering commitment to excellence, and they are a source of great pride to their classmates and their many supporters in the local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the Gruver High School boys' basketball team on a successful 2018-2019 season and extend to the team's players, coaches, and staff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Greyhounds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King of Hemphill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1051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