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1166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Soren Ettinger DeCou has ably served her fellow Texans as an intern in the office of State Representative Dan Huberty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DeCou has provided vital assistance in handling a wide variety of challenging tasks, including drafting hearing requests, corresponding with constituents, and attending lobbying and advocacy meetings;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DeCou is the daughter of Jessica DeCou and Nicholas and Rivka Ettinger, and she is a freshman biomedical engineering major in the Plan II Honors Program at The University of Texas at Austin; a Forty Acres Scholar, she is actively involved with the Senate of College Councils and Reading Aces, a literacy service organization; following her graduation, she plans to pursue a career in STEM policy and foreign affairs;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Soren Ettinger DeCou for her service as a legislative intern in the office of State Representative Dan Huberty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DeCou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Huberty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1166 was adopted by the House on April 18,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1166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