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Sunnie Wilkinson of Colmesneil placed among the winners in the calf scramble event at the Fort Worth Stock Show &amp; Rodeo on February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15 fellow FFA and 4-H members, Ms.</w:t>
      </w:r>
      <w:r xml:space="preserve">
        <w:t> </w:t>
      </w:r>
      <w:r>
        <w:t xml:space="preserve">Wilkinson successfully caught one of eight calves to secure her spot in the winner's circle;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fine young Texan is a valued member of the Colmesneil FFA; her impressive showing in the event garnered her a $500 certificate to be used toward purchasing a heifer intended for exhibition at the 2020 Fort Worth Stock Show, as well as a chance to earn up to $12,500 in scholarship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Sunnie Wilkinson demonstrated exceptional skill and determination in the calf scramble event, and she may indeed reflect with pride on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Sunnie Wilkinson on her winning performance in the calf scramble at the 2019 Fort Worth Stock Show &amp; Rodeo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Wilkinson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 w:rsidR="003F3435" w:rsidRDefault="0032493E">
      <w:pPr>
        <w:spacing w:before="240" w:line="480" w:lineRule="auto"/>
        <w:jc w:val="both"/>
      </w:pP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1403 was adopted by the House on April 29,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