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86R27349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Patrick of Saint Jo has been named the winner of the 2019 PenTex Energy Government-in-Action Youth Tour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Patrick is one of more than 100 students from across the country selected by their local electric cooperatives to take part in the Government-in-Action Youth Tour; while visiting Washington, D.C., from June 12 to 21, participants will have the opportunity to meet with congressional representatives, tour the U.S.</w:t>
      </w:r>
      <w:r xml:space="preserve">
        <w:t> </w:t>
      </w:r>
      <w:r>
        <w:t xml:space="preserve">Capitol, and visit many of the city's historic sites and museums;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Kody and Scott Patrick, Ms.</w:t>
      </w:r>
      <w:r xml:space="preserve">
        <w:t> </w:t>
      </w:r>
      <w:r>
        <w:t xml:space="preserve">Patrick is in her senior year at Nocona High School, where she has distinguished herself as a starter for the school's volleyball and basketball teams, as a district pole vaulting champion, and as a two-time district champion in girls' singles tennis; she has been accepted to attend Texas A&amp;M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Rachel Patrick has demonstrated great dedication and perseverance in the pursuit of her goals, and she is indeed deserving of recognition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Rachel Patrick on winning the 2019 PenTex Energy Government-in-Action Youth Tour contest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Patrick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