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1507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Pioneering Texan Elder B.</w:t>
      </w:r>
      <w:r xml:space="preserve">
        <w:t> </w:t>
      </w:r>
      <w:r>
        <w:t xml:space="preserve">Barton fought bravely for freedom during the Texas Revolution and contributed to the growth of Hidalgo County;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Born in New York City in 1806, Elder Barton joined the Texian Army on March 13, 1836, and served in Captain Robert J.</w:t>
      </w:r>
      <w:r xml:space="preserve">
        <w:t> </w:t>
      </w:r>
      <w:r>
        <w:t xml:space="preserve">Calder's Brazoria Company at the Battle of San Jacinto on April 21, 1836; on this day, the Texian Army under General Sam Houston decisively defeated the Mexican troops commanded by General Antonio López de Santa Anna in an engagement that lasted just 18 minutes;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 October of 1836, Mr.</w:t>
      </w:r>
      <w:r xml:space="preserve">
        <w:t> </w:t>
      </w:r>
      <w:r>
        <w:t xml:space="preserve">Barton was honorably discharged, and he moved to Matamoros, Tamaulipas, Mexico, where he married Santitos Balli, with whom he had 16 children; the couple lived in several towns in the Rio Grande Valley, including Brownsville, Santa Rosa, and Los Indios, before settling in Nueces County, where Mr.</w:t>
      </w:r>
      <w:r xml:space="preserve">
        <w:t> </w:t>
      </w:r>
      <w:r>
        <w:t xml:space="preserve">Barton received 369 acres as compensation for his military service;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Mr.</w:t>
      </w:r>
      <w:r xml:space="preserve">
        <w:t> </w:t>
      </w:r>
      <w:r>
        <w:t xml:space="preserve">Barton became an important figure in the economic development of Hidalgo County; he served as postmaster, worked in the steamboat industry, and utilized his military experience to help secure the United States border along the Rio Grande; he died on his ranch on August 4, 1884, and was buried in the courtyard of the Hidalgo County Courthouse, where his son Washington Barton served as county commissioner;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After the courthouse burned down, Mr.</w:t>
      </w:r>
      <w:r xml:space="preserve">
        <w:t> </w:t>
      </w:r>
      <w:r>
        <w:t xml:space="preserve">Barton's remains were reinterred in the Hidalgo City Cemetery, and in 2016, the Texas Historical Commission placed a state historical marker there in his honor;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Elder Barton fought courageously in the struggle for Texas independence, and the legacy he left behind will be remembered for years to come;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pay tribute to the life and achievements of Elder B.</w:t>
      </w:r>
      <w:r xml:space="preserve">
        <w:t> </w:t>
      </w:r>
      <w:r>
        <w:t xml:space="preserve">Barton and commemorate his contributions to the history and heritage of Texas.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Martinez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1507 was adopted by the House on May 10,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1507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