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86R31144 CW-D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Canales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1523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Economedes High School head coach Carlos Ramos has been named Boys Basketball Coach of the Year by the</w:t>
      </w:r>
      <w:r>
        <w:rPr>
          <w:i/>
        </w:rPr>
        <w:t xml:space="preserve"> Monitor</w:t>
      </w:r>
      <w:r>
        <w:t xml:space="preserve"> newspaper;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taking charge of the Economedes basketball program in 2015, Coach Ramos has helped the Jaguars to improve dramatically; the team won just seven games in his first year at the helm but has notched 22, 24, and 26 victories, respectively, over the past three seasons; during the 2018-2019 campaign, Economedes clinched a share of the district crown and recorded the first postseason win in school history;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Ramos gained his initial coaching experience in the Donna Independent School District; following his arrival at Economedes, he served as a freshman and junior varsity basketball coach before accepting his present position; he also coaches the running backs on the school's football team;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leadership and expertise, Carlos Ramos is building a tradition of basketball excellence at Economedes High School, and he is indeed deserving of this prestigious honor;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Carlos Ramos on being named Boys Basketball Coach of the Year by the</w:t>
      </w:r>
      <w:r>
        <w:rPr>
          <w:i/>
        </w:rPr>
        <w:t xml:space="preserve"> Monitor</w:t>
      </w:r>
      <w:r>
        <w:t xml:space="preserve"> newspaper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Coach Ramos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1523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