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Colonel Truong Van Tuc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military service, scientific research, and the arts; Lieutenant Colonel Truong Van Tuc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A veteran of the Vietnam War who received his military training in both Vietnam and the United States, Lieutenant Colonel Truong Van Tuc served in that conflict until 1975 and was later honored for his efforts with the Army Commendation Medal; he was appointed to Washington state's Indochinese Advisory Committee in 1976, and he was soon after named codirector of the Spokane Indochinese Refugee Center in Washington; in 1978, he and his family settled in Houston, where he has since dedicated himself to building a strong Vietnamese American community and to assisting American and Vietnamese veterans by helping them overcome difficulties in their daily lives; and</w:t>
      </w:r>
    </w:p>
    <w:p w:rsidR="003F3435" w:rsidRDefault="0032493E">
      <w:pPr>
        <w:spacing w:line="480" w:lineRule="auto"/>
        <w:ind w:firstLine="720"/>
        <w:jc w:val="both"/>
      </w:pPr>
      <w:r>
        <w:t xml:space="preserve">WHEREAS, Lieutenant Colonel Truong Van Tuc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Lieutenant Colonel Truong Van Tuc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Lieutenant Colonel Truong Van Tuc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