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Alan Reyes has been named salutatorian of the Class of 2019 at Brownsville Early College High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his place as one of the top ranking students in his class, Mr.</w:t>
      </w:r>
      <w:r xml:space="preserve">
        <w:t> </w:t>
      </w:r>
      <w:r>
        <w:t xml:space="preserve">Reyes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The son of Claudia Garza and Armando Reyes, Mr.</w:t>
      </w:r>
      <w:r xml:space="preserve">
        <w:t> </w:t>
      </w:r>
      <w:r>
        <w:t xml:space="preserve">Reyes earned a 5.01 GPA, and he looks forward to attending The University of Texas at Austin; he has twice placed second in computer security at the Business Professionals of America competition, twice qualified for national competition at the Rio Grande Valley Regional Chess Tournament, and was recognized as best attorney in the first round of the Texas Regional High School Mock Trial Competition; and</w:t>
      </w:r>
    </w:p>
    <w:p w:rsidR="003F3435" w:rsidRDefault="0032493E">
      <w:pPr>
        <w:spacing w:line="480" w:lineRule="auto"/>
        <w:ind w:firstLine="720"/>
        <w:jc w:val="both"/>
      </w:pPr>
      <w:r>
        <w:t xml:space="preserve">WHEREAS, During his years at BECHS, Alan Reyes has earned the respect and admiration of both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Alan Reyes on graduating as salutatorian of the Brownsville Early College High School Class of 2019 and extend to him sincere best wishes for continued success as he begins the next exciting chapter of his life;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Reyes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