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86R34130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Grecia Garate has been named valedictorian of the Class of 2019 at Brownsville Early College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Garate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Veronica Quiroz Buelna and Paul Garate Lopez, Ms.</w:t>
      </w:r>
      <w:r xml:space="preserve">
        <w:t> </w:t>
      </w:r>
      <w:r>
        <w:t xml:space="preserve">Garate maintained an impressive grade point average of 5.09 at BECHS while also completing college credit at The University of Texas Rio Grande Valley, where she achieved a 4.0 GPA in her classes; she has been recognized as an AP Scholar with Honor and is the recipient of a Rotary Award in English, and outside of school, she has participated with an award-winning dance troupe in various Dance Educators of America events; following graduation, she plans to attend The University of Texas at Austin; and</w:t>
      </w:r>
    </w:p>
    <w:p w:rsidR="003F3435" w:rsidRDefault="0032493E">
      <w:pPr>
        <w:spacing w:line="480" w:lineRule="auto"/>
        <w:ind w:firstLine="720"/>
        <w:jc w:val="both"/>
      </w:pPr>
      <w:r>
        <w:t xml:space="preserve">WHEREAS, During her years at BECHS, Grecia Garate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Grecia Garate on graduating as valedictorian of the Brownsville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Garate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