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Entrepreneurs and the small businesses they create play an essential role in the Texas economy, generating jobs and enhancing the overall vitality of the communities they serve;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establishment in 2017, Still Austin Whiskey Co. has built an admirable reputation in the Austin area and made an important contribution to the city's vibrant craft distillery scene;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Still Austin benefits from the inspired leadership of two married couples, Lisa and Andrew Braunberg and Joanna and Sal Salinas, and the father-and-son team of Cleveland and Chris Seals; the first grain-to-glass whiskey distillery within Austin's city limits since Prohibition, Still Austin uses locally sourced grains and limestone-filtered water to produce its spirits, and it performs all of its own milling, mashing, fermenting, distilling, barreling, and bottling in-house;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 and staff of Still Austin Whiskey Co. are helping to make the enterprise a Lone Star success story, and they may take justifiable pride in their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Still Austin Whiskey Co. as a noteworthy member of the Austin business community and extend to all those associated with the distillery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Still Austin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Rodriguez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1818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