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86R31244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A.</w:t>
      </w:r>
      <w:r xml:space="preserve">
        <w:t> </w:t>
      </w:r>
      <w:r>
        <w:t xml:space="preserve">Canales, a student at London Elementary School in Corpus Christi, won third place in the K-2 division of the 2019 State Bar of Texas Law Day poster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Law Day, observed on May 1, is an annual celebration of the rule of law and the vital role that it plays as a cornerstone of our democracy; this year, the State Bar of Texas partnered with the Texas Young Lawyers Association to host several Law Day contests with the theme of "Free Speech, Free Press, Free Society";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Canales's local contest was sponsored by the Corpus Christi Bar Association, and the talented young Texan went on to claim the third-place prize with his artwork, which he titled "Celebrating Our Freedoms";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Canales has demonstrated impressive skill and creativity in his effort to illustrate the important themes of the contest, and he is a source of great pride to his family and his school;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Michael A.</w:t>
      </w:r>
      <w:r xml:space="preserve">
        <w:t> </w:t>
      </w:r>
      <w:r>
        <w:t xml:space="preserve">Canales on his outstanding showing in the 2019 State Bar of Texas Law Day poster contest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Michael Canales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