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86R35245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Gruver High School distinguished themselves through their participation in the 2019 University Interscholastic League Academic State Meet, which took place in Austin on May 3 and 4; and</w:t>
      </w:r>
    </w:p>
    <w:p w:rsidR="003F3435" w:rsidRDefault="0032493E">
      <w:pPr>
        <w:spacing w:line="480" w:lineRule="auto"/>
        <w:ind w:firstLine="720"/>
        <w:jc w:val="both"/>
      </w:pPr>
      <w:r>
        <w:t xml:space="preserve">WHEREAS, Facing off against opponents in Class 2A events, Kari Whitehead secured 8th place in accounting, Faith Olsen took 14th place in literary criticism, and Nick Johnson finished 18th in science; and</w:t>
      </w:r>
    </w:p>
    <w:p w:rsidR="003F3435" w:rsidRDefault="0032493E">
      <w:pPr>
        <w:spacing w:line="480" w:lineRule="auto"/>
        <w:ind w:firstLine="720"/>
        <w:jc w:val="both"/>
      </w:pPr>
      <w:r>
        <w:t xml:space="preserve">WHEREAS, By earning the right to compete in the state's premier high school academic competition,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members of the Gruver High School UIL academics team for their participation in the 2019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