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86R35848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1998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School of Science and Technology Advancement in Houston has been designated by Character.org as a State School of Character and a National School of Character for 2019; and</w:t>
      </w:r>
    </w:p>
    <w:p w:rsidR="003F3435" w:rsidRDefault="0032493E">
      <w:pPr>
        <w:spacing w:line="480" w:lineRule="auto"/>
        <w:ind w:firstLine="720"/>
        <w:jc w:val="both"/>
      </w:pPr>
      <w:r>
        <w:t xml:space="preserve">WHEREAS, The national nonprofit Character.org works with communities, schools, and other organizations to inspire, educate, and empower people to be ethical and compassionate citizens; its annual Schools of Character designations honor schools that have lived up to Character.org's 11 Principles of Character, which include providing students with opportunities for moral action, promoting a sense of shared leadership, and engaging families and communities; and</w:t>
      </w:r>
    </w:p>
    <w:p w:rsidR="003F3435" w:rsidRDefault="0032493E">
      <w:pPr>
        <w:spacing w:line="480" w:lineRule="auto"/>
        <w:ind w:firstLine="720"/>
        <w:jc w:val="both"/>
      </w:pPr>
      <w:r>
        <w:t xml:space="preserve">WHEREAS, Established in 2016, SST Advancement is a public charter school that provides college preparatory STEM education from kindergarten through eighth grade; the school fosters the academic and socioemotional development of its pupils by taking a character-building approach to learning 21st-century skills, in a safe, enriching, and student-centered environment; and</w:t>
      </w:r>
    </w:p>
    <w:p w:rsidR="003F3435" w:rsidRDefault="0032493E">
      <w:pPr>
        <w:spacing w:line="480" w:lineRule="auto"/>
        <w:ind w:firstLine="720"/>
        <w:jc w:val="both"/>
      </w:pPr>
      <w:r>
        <w:t xml:space="preserve">WHEREAS, In January 2019, SST Advancement became one of only 15 schools in Texas, and 87 nationwide, to receive a State School of Character designation; that recognition qualified the campus to be considered for a National School of Character designation, which it received in May; and</w:t>
      </w:r>
    </w:p>
    <w:p w:rsidR="003F3435" w:rsidRDefault="0032493E">
      <w:pPr>
        <w:spacing w:line="480" w:lineRule="auto"/>
        <w:ind w:firstLine="720"/>
        <w:jc w:val="both"/>
      </w:pPr>
      <w:r>
        <w:t xml:space="preserve">WHEREAS, Character education plays an integral part in the development of children into the responsible citizens and ethical leaders of tomorrow, and SST Advancement has established itself as a model for success in this vital endeavor; now, therefore, be it</w:t>
      </w:r>
    </w:p>
    <w:p w:rsidR="003F3435" w:rsidRDefault="0032493E">
      <w:pPr>
        <w:spacing w:line="480" w:lineRule="auto"/>
        <w:ind w:firstLine="720"/>
        <w:jc w:val="both"/>
      </w:pPr>
      <w:r>
        <w:t xml:space="preserve">RESOLVED, That the House of Representatives of the 86th Texas Legislature hereby congratulate the School of Science and Technology Advancement on receiving State and National School of Character designations from Character.org and extend to the school's students, staff, and parents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