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86R36421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 Jorge Baldor has helped enrich the Oak Cliff neighborhood in Dallas by founding the Mercado369 community arts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November 2017, Mercado369 showcases the rich culture of Latin America, displaying sculpture, textiles, jewelry, and other works by artists from Mexico to Argentina;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Havana, Cuba, Mr.</w:t>
      </w:r>
      <w:r xml:space="preserve">
        <w:t> </w:t>
      </w:r>
      <w:r>
        <w:t xml:space="preserve">Baldor is a cofounder of the Latino Center for Leadership Development (LCLD) and ResidentCheck, a national tenant background screening service, as well as an advocate for education and social causes; he is a commissioner for the City of Dallas Office of Cultural Affairs and a member of the boards of Southern Methodist University, Social Venture Partners Dallas, the World Affairs Council, and the Oak Cliff Chamber of Commerce, among others;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creation of Mercado369, Jorge Baldor has contributed to the prosperity and diversity of the Oak Cliff neighborhood while providing a welcoming venue for the works of talented Latin American artists, and he is truly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Jorge Baldor for founding Mercado369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Baldor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