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2128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April 12, 2020, marks the joyful occasion of Easter, a holy day of great meaning to countless Americans;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Easter is the most sacred celebration in the Christian faith, a time when people across the world join together to commemorate the resurrection of Jesus Christ of Nazareth and the gospel's resonant messages of hope, redemption, and eternal love;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Observed on the Sunday following the first full moon of the March equinox, Easter is the culmination of Lent, a 40-day period of fasting and prayer, and the final day of Holy Week; the week recounts Christ's last days on earth and crucifixion at the hands of Roman authorities, an event that is remembered with solemn reverence during Good Friday;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many Christians, Easter is a time to reflect on the miracle of Christ's resurrection, to worship, and to gather with family and friends; many of Easter's venerable traditions have, over the centuries, become woven into our way of life; although these customs may vary, rebirth and renewal manifest as common themes, providing symbolic reference to Christ's ascension and the promise that--as the new growth of spring arises from the dormancy of winter--so too will hope triumph over despair;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teachings of Christ have inspired people throughout the ages to strive for a better world and a more meaningful life; as it has been for two millennia, the unchanging message of salvation contained in the Easter story is a strong source of comfort and joy for many;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commemorate Easter 2020.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Price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2128 was adopted by the House on May 27,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2128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