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86R36915 SRA-D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4542 (Guillen/Hinojosa)</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2185</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4542 (reports by persons involved in the manufacture and distribution of alcoholic beverages for purposes of sales and use taxes)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111, Tax Code, is amended by adding Section 111.0023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111.0023.</w:t>
      </w:r>
      <w:r>
        <w:rPr>
          <w:u w:val="single"/>
        </w:rPr>
        <w:t xml:space="preserve"> </w:t>
      </w:r>
      <w:r>
        <w:rPr>
          <w:u w:val="single"/>
        </w:rPr>
        <w:t xml:space="preserve"> </w:t>
      </w:r>
      <w:r>
        <w:rPr>
          <w:u w:val="single"/>
        </w:rPr>
        <w:t xml:space="preserve">Definition of Individual.</w:t>
      </w:r>
      <w:r>
        <w:rPr>
          <w:u w:val="single"/>
        </w:rPr>
        <w:t xml:space="preserve"> </w:t>
      </w:r>
      <w:r>
        <w:rPr>
          <w:u w:val="single"/>
        </w:rPr>
        <w:t xml:space="preserve"> </w:t>
      </w:r>
      <w:r>
        <w:rPr>
          <w:u w:val="single"/>
        </w:rPr>
        <w:t xml:space="preserve">For purposes of this title, "individual" means a natural person.  The term does not include a partnership, limited liability partnership, corporation, banking corporation, savings and loan association, limited liability company, business trust, professional association, business association, joint venture, joint stock company, holding company, or other legal entity.</w:t>
      </w:r>
    </w:p>
    <w:p w:rsidR="003F3435" w:rsidRDefault="0032493E">
      <w:pPr>
        <w:spacing w:line="480" w:lineRule="auto"/>
        <w:ind w:firstLine="720"/>
        <w:jc w:val="both"/>
      </w:pPr>
      <w:r>
        <w:t xml:space="preserve">Explanation:  The addition is necessary to include a definition of "individual"</w:t>
      </w:r>
      <w:r>
        <w:t xml:space="preserve"> </w:t>
      </w:r>
      <w:r>
        <w:t xml:space="preserve">for Title 2, Tax Code.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