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2019, That House Rule 13, Section 9(a), be suspended in part as provided by House Rule 13, Section 9(f), to enable the conference committee appointed to resolve the differences on Senate Bill 2342 (the jurisdiction of, and practices and procedures in civil cases before, justice courts, county courts, statutory county courts, and district courts)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9(a)(1), is suspended to permit the committee to amend text not in disagreement in proposed SECTION 35 of the bill, in a transition provision of the bill, to read as follows: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2021, the Supreme Court of Texas shall adopt rules as necessary to implement Section 22.004(h-1), Government Code, as added by this Act.</w:t>
      </w:r>
    </w:p>
    <w:p w:rsidR="003F3435" w:rsidRDefault="0032493E">
      <w:pPr>
        <w:spacing w:line="480" w:lineRule="auto"/>
        <w:ind w:firstLine="720"/>
        <w:jc w:val="both"/>
      </w:pPr>
      <w:r>
        <w:t xml:space="preserve">Explanation:  The change is necessary to provide the Supreme Court of Texas additional time to adopt rules as necessary to implement certain provisions added by the Act.</w:t>
      </w:r>
    </w:p>
    <w:p w:rsidR="003F3435" w:rsidRDefault="0032493E">
      <w:pPr>
        <w:spacing w:line="480" w:lineRule="auto"/>
        <w:ind w:firstLine="720"/>
        <w:jc w:val="both"/>
      </w:pPr>
      <w:r>
        <w:t xml:space="preserve">(2)</w:t>
      </w:r>
      <w:r xml:space="preserve">
        <w:t> </w:t>
      </w:r>
      <w:r xml:space="preserve">
        <w:t> </w:t>
      </w:r>
      <w:r>
        <w:t xml:space="preserve">House Rule 13, Section 9(a)(1), is suspended to permit the committee to amend text not in disagreement in proposed SECTION 37 of the bill, in the effective date provision of the bill, to read as follows: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2020.</w:t>
      </w:r>
    </w:p>
    <w:p w:rsidR="003F3435" w:rsidRDefault="0032493E">
      <w:pPr>
        <w:spacing w:line="480" w:lineRule="auto"/>
        <w:ind w:firstLine="720"/>
        <w:jc w:val="both"/>
      </w:pPr>
      <w:r>
        <w:t xml:space="preserve">Explanation:  The change is necessary to delay by one year the effective date of the Act.</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2187 was adopted by the House on May 26, 2019, by the following vote:</w:t>
      </w:r>
      <w:r xml:space="preserve">
        <w:t> </w:t>
      </w:r>
      <w:r xml:space="preserve">
        <w:t> </w:t>
      </w:r>
      <w:r>
        <w:t xml:space="preserve">Yeas 131, Nays 12,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