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family and friends of U.S. Army Sergeant Bernard James Stephan suffered an immeasurable loss when he made the ultimate sacrifice during World War II, at the age of 25;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May 14, 1919, in Tawas City, Michigan, Bernard Stephan graduated from St.</w:t>
      </w:r>
      <w:r xml:space="preserve">
        <w:t> </w:t>
      </w:r>
      <w:r>
        <w:t xml:space="preserve">Joseph School in 1937, and he was inducted into the army on June 23, 1941;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Stephan received his basic training at Camp Roberts, California, and in November 1941, he transferred to Fort Lewis, Washington, where he trained as a radio operator; he then transferred to Camp Gordon, Georgia, in August 1943, and a month after the D-Day invasion of Normandy, he shipped out from New York, arriving in England on July 14, 1944;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in the Third Army under General George S.</w:t>
      </w:r>
      <w:r xml:space="preserve">
        <w:t> </w:t>
      </w:r>
      <w:r>
        <w:t xml:space="preserve">Patton, Sergeant Stephan contributed to the liberation of Europe, taking part in many battles and earning the respect of his officers and comrades for his devotion to duty; he was killed in action in Luxembourg on January 20, 1945;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Exemplifying the highest ideals of the U.S. armed forces, Bernard Stephan inspired others with his fortitude, tenacity, and courage, and his fellow Americans owe him a debt of gratitude that the passage of time will never diminish;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U.</w:t>
      </w:r>
      <w:r>
        <w:t xml:space="preserve">S. Army Sergeant Bernard James Stephan;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when the Texas House of Representatives adjourns this day, it do so in memory of Bernard Stephan.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Lucio III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2208 was unanimously adopted by a rising vote of the House on May 27,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