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discrimination by a state agency against an applicant for or holder of an occupational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57, Occupations Code, is amended by adding Sections 57.003 and 57.004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OCCUPATIONAL LICENSING RULES OR POLICIES PROHIBITED.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that issues a license or otherwise regulates a business, occupation, or profession may not adopt any rule, regulation, or policy or impose a penalty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limits an applicant's ability to obtain, maintain, or renew a license based on a sincerely held religious belief of the applicant;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burdens an applicant's or a license holder's: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 exercise of religion, regardless of whether the burden is the result of a rule generally applicable to all applicants or license holders;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speech regarding a sincerely held religious belief;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 in any religious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licensing or regulation of a first responder, as defined by Section 421.095,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prohibit a state agency from taking any action to ensure that the standard of care or practice for the applicable business, occupation, or profession is satisfied.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an applicant or license holder to not pay a license issuance or renewal fee;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license holder to refuse to provide a medical service within the scope of the person's license that is necessary to prevent death or imminent serious bodily injury;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any right, privilege, or protection granted to any person under the constitution and laws of this state and the United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OR JUDICIAL RELIEF.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assert that a state agency rule, regulation, or policy, or a penalty imposed by the agency, violates Section 57.003 as a defense in an administrative hearing or as a claim or defense in a judicial proceeding under Chapter 37, Civil Practice and Remedies Code, except that the person may not assert the violation as a defense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allegation of sexual misconduct;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prosecution of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bring an action for injunctive relief against a violation of Section 57.003.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