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86R4527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discrimination by a state agency against an applicant for or holder of an occupational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57, Occupations Code, is amended by adding Sections 57.003 and 57.004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RULES OR POLICIES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A state agency that issues a license or otherwise regulates a business, occupation, or profession may not adopt any rule, regulation, or policy or impose a penalty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limits an applicant's ability to obtain, maintain, or renew a license based on a sincerely held religious belief of the applicant;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burdens an applicant's or a license holder's: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 exercise of religion, regardless of whether the burden is the result of a rule generally applicable to all applicants or license holders;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speech regarding a sincerely held religious belief;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 in any religious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the licensing or regulation of peace officers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prohibit a state agency from taking any action to ensure that the standard of care or practice for the applicable business, occupation, or profession is satisfied.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license holder to refuse to provide a medical service within the scope of the person's license that is necessary to prevent death or imminent serious bodily injury;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any right, privilege, or protection granted to any person under the constitution and laws of this state and the United States.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OR JUDICIAL RELIEF.  (a)  A person may assert that a state agency rule, regulation, or policy, or a penalty imposed by the agency, violates Section 57.003 as a defense in an administrative hearing or as a claim or defense in a judicial proceeding under Chapter 37, Civil Practice and Remedies Code, except that the person may not assert the violation as a defense to: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allegation of sexual misconduct;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prosecution of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bring an action for injunctive relief against a violation of Section 57.003.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