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Bettencourt, 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1;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discrimination by a state agency against an applicant for or holder of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Sections 57.003 and 57.004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OCCUPATIONAL LICENSING RULES OR POLICIES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that issues a license or otherwise regulates a business, occupation, or profession may not adopt any rule, regulation, or policy or impose a penalty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limits an applicant's ability to obtain, maintain, or renew a license based on a sincerely held religious belief of the applicant;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burdens an applicant's or a license holder's: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generally applicable to all applicants or license holders;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regarding a sincerely held religious belief;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licensing or regulation of peace officers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prohibit a state agency from taking any action to ensure that the standard of care or practice for the applicable business, occupation, or profession is satisfied.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an applicant or license holder to not pay a license issuance or renewal fee;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license holder to refuse to provide a medical service within the scope of the person's license that is necessary to prevent death or imminent serious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any right, privilege, or protection granted to any person under the constitution and laws of this state and the United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OR JUDICIAL RELIEF.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assert that a state agency rule, regulation, or policy, or a penalty imposed by the agency, violates Section 57.003 as a defense in an administrative hearing or as a claim or defense in a judicial proceeding under Chapter 37, Civil Practice and Remedies Code, except that the person may not assert the violation as a defense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against a violation of Section 57.003.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