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86R33574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25</w:t>
      </w:r>
    </w:p>
    <w:p w:rsidR="003F3435" w:rsidRDefault="0032493E">
      <w:pPr>
        <w:ind w:firstLine="720"/>
        <w:jc w:val="both"/>
      </w:pPr>
      <w:r>
        <w:t xml:space="preserve">(Turner of Tarrant, Stucky, Howard, Frullo, Walle,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25:</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C.S.S.B.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Education Code, is amended by adding Sections 51.400, 51.4033, and 51.4034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"institution of higher education," and "public junior college"</w:t>
      </w:r>
      <w:r>
        <w:rPr>
          <w:u w:val="single"/>
        </w:rPr>
        <w:t xml:space="preserve"> </w:t>
      </w:r>
      <w:r>
        <w:rPr>
          <w:u w:val="single"/>
        </w:rPr>
        <w:t xml:space="preserve">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51.4033.</w:t>
      </w:r>
      <w:r>
        <w:rPr>
          <w:u w:val="single"/>
        </w:rPr>
        <w:t xml:space="preserve"> </w:t>
      </w:r>
      <w:r>
        <w:rPr>
          <w:u w:val="single"/>
        </w:rPr>
        <w:t xml:space="preserve"> </w:t>
      </w:r>
      <w:r>
        <w:rPr>
          <w:u w:val="single"/>
        </w:rPr>
        <w:t xml:space="preserve">REPORT OF NONTRANSFERABLE CREDIT.  (a)  Not later than March 1 of each year and in the form prescribed by the coordinating board, each general academic teaching institution shall provide to the coordinating board and the legislature a report describing any courses in the Lower-Division Academic Course Guide Manual or its successor adopted by the coordinating board for which a student who transfers to the institution from another institution of higher education is not granted: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credit at the receiving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has declared a major and has not changed majors, academic credit toward the student's major at the receiving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course name and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institution of higher education provided academic credit for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why the receiving institution did not grant academic credit for the course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51.4034.</w:t>
      </w:r>
      <w:r>
        <w:rPr>
          <w:u w:val="single"/>
        </w:rPr>
        <w:t xml:space="preserve"> </w:t>
      </w:r>
      <w:r>
        <w:rPr>
          <w:u w:val="single"/>
        </w:rPr>
        <w:t xml:space="preserve"> </w:t>
      </w:r>
      <w:r>
        <w:rPr>
          <w:u w:val="single"/>
        </w:rPr>
        <w:t xml:space="preserve">REPORT OF COURSES TAKEN AT JUNIOR COLLEGES.  (a)  Not later than March 1 of each year and in the form prescribed by the coordinating board, each public junior college shall provide to the coordinating board and the legislature a report on courses taken by students who, during the preceding academic year, transferred to a general academic teaching institution or earned an associate degree at the college.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include the total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courses attempted and completed at the college, including the total number of semester credit hours for those courses, disaggregated by whether the course is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Workforce Education Course Manual or its successor adopted by the coordinating board;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Lower-Division Academic Course Guide Manual or its successor adopted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attempted and completed at the college that are not in the recommended core curriculum developed by the coordinating board under Section 61.822;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dual credit courses, including courses for joint high school and junior college credit under Section 130.008, attempted and completed at the college.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51.762,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adopting a form under this section, the board shall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 </w:t>
      </w:r>
      <w:r>
        <w:rPr>
          <w:u w:val="single"/>
        </w:rPr>
        <w:t xml:space="preserve"> </w:t>
      </w:r>
      <w:r>
        <w:rPr>
          <w:u w:val="single"/>
        </w:rPr>
        <w:t xml:space="preserve">In adopting those rules, the coordinating board shall use the negotiated rulemaking procedures under Chapter 2008, Government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at least one recommended course sequence for each undergraduate certificate or degree program offered by the institution.  Each recommended course sequence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required lower-division courses for the applicable certificate or degree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each course,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course number or course equivalent under the common course numbering system approved by the coordinating board under Section 61.832;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equivalent in the Lower-Division Academic Course Guide Manual or its successor adopted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enable a full-time student to obtain a certificate or degree, as applicable,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60-hour degree or certificate program, two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120-hour degree program, four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in consultation with institutions of higher education, shall adopt rules as necessary for the administration of this section.  In adopting those rules, the coordinating board shall use the negotiated rulemaking procedures under Chapter 2008,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"institution of higher education"</w:t>
      </w:r>
      <w:r>
        <w:rPr>
          <w:u w:val="single"/>
        </w:rPr>
        <w:t xml:space="preserve"> </w:t>
      </w:r>
      <w:r>
        <w:rPr>
          <w:u w:val="single"/>
        </w:rPr>
        <w:t xml:space="preserve">have the meanings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entered into under Subsection (b) on or after September 1, 2019, may use field of study curricula developed by the Texas Higher Education Coordinating Board under Section 61.823.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51.9715,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institution of higher education, or a school district that offers international baccalaureate courses, dual credit courses, or any other course for which an institution of higher education may award students enrolled at the district college course credit, including course credit awarded by examination, may release student information to an institution of higher education for purposes of transferring course credit to that institution or enabling the awarding of course credit by that institution, in accordance with federal law regarding the confidentiality of student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(b)</w:t>
      </w:r>
      <w:r xml:space="preserve">
        <w:t> </w:t>
      </w:r>
      <w:r xml:space="preserve">
        <w:t> </w:t>
      </w:r>
      <w:r>
        <w:t xml:space="preserve">An institution of higher education </w:t>
      </w:r>
      <w:r>
        <w:rPr>
          <w:u w:val="single"/>
        </w:rPr>
        <w:t xml:space="preserve">or school district</w:t>
      </w:r>
      <w:r>
        <w:t xml:space="preserve"> may release student information in accordance with Subsection (a) </w:t>
      </w:r>
      <w:r>
        <w:rPr>
          <w:u w:val="single"/>
        </w:rPr>
        <w:t xml:space="preserve">or (a-1), as applicable,</w:t>
      </w:r>
      <w:r>
        <w:t xml:space="preserve"> through:</w:t>
      </w:r>
    </w:p>
    <w:p w:rsidR="003F3435" w:rsidRDefault="0032493E">
      <w:pPr>
        <w:spacing w:line="480" w:lineRule="auto"/>
        <w:ind w:firstLine="1440"/>
        <w:jc w:val="both"/>
      </w:pPr>
      <w:r>
        <w:t xml:space="preserve">(1)</w:t>
      </w:r>
      <w:r xml:space="preserve">
        <w:t> </w:t>
      </w:r>
      <w:r xml:space="preserve">
        <w:t> </w:t>
      </w:r>
      <w:r>
        <w:t xml:space="preserve">the National Student Clearinghouse; or</w:t>
      </w:r>
    </w:p>
    <w:p w:rsidR="003F3435" w:rsidRDefault="0032493E">
      <w:pPr>
        <w:spacing w:line="480" w:lineRule="auto"/>
        <w:ind w:firstLine="1440"/>
        <w:jc w:val="both"/>
      </w:pPr>
      <w:r>
        <w:t xml:space="preserve">(2)</w:t>
      </w:r>
      <w:r xml:space="preserve">
        <w:t> </w:t>
      </w:r>
      <w:r xml:space="preserve">
        <w:t> </w:t>
      </w:r>
      <w:r>
        <w:t xml:space="preserve">a similar [</w:t>
      </w:r>
      <w:r>
        <w:rPr>
          <w:strike/>
        </w:rPr>
        <w:t xml:space="preserve">national</w:t>
      </w:r>
      <w:r>
        <w:t xml:space="preserve">] electronic data sharing and exchange platform operated by an agent of the institution </w:t>
      </w:r>
      <w:r>
        <w:rPr>
          <w:u w:val="single"/>
        </w:rPr>
        <w:t xml:space="preserve">or district</w:t>
      </w:r>
      <w:r>
        <w:t xml:space="preserve"> that meets nationally accepted standards, conventions, and practices.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61.059(p), Education Code, is amended to read as follows:</w:t>
      </w:r>
    </w:p>
    <w:p w:rsidR="003F3435" w:rsidRDefault="0032493E">
      <w:pPr>
        <w:spacing w:line="480" w:lineRule="auto"/>
        <w:ind w:firstLine="720"/>
        <w:jc w:val="both"/>
      </w:pPr>
      <w:r>
        <w:t xml:space="preserve">(p)</w:t>
      </w:r>
      <w:r xml:space="preserve">
        <w:t> </w:t>
      </w:r>
      <w:r xml:space="preserve">
        <w:t> </w:t>
      </w:r>
      <w:r>
        <w:t xml:space="preserve">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3F3435" w:rsidRDefault="0032493E">
      <w:pPr>
        <w:spacing w:line="480" w:lineRule="auto"/>
        <w:ind w:firstLine="1440"/>
        <w:jc w:val="both"/>
      </w:pPr>
      <w:r>
        <w:t xml:space="preserve">(1)</w:t>
      </w:r>
      <w:r xml:space="preserve">
        <w:t> </w:t>
      </w:r>
      <w:r xml:space="preserve">
        <w:t> </w:t>
      </w:r>
      <w:r>
        <w:t xml:space="preserve">a course in the core curriculum of the institution providing course credit;</w:t>
      </w:r>
    </w:p>
    <w:p w:rsidR="003F3435" w:rsidRDefault="0032493E">
      <w:pPr>
        <w:spacing w:line="480" w:lineRule="auto"/>
        <w:ind w:firstLine="1440"/>
        <w:jc w:val="both"/>
      </w:pPr>
      <w:r>
        <w:t xml:space="preserve">(2)</w:t>
      </w:r>
      <w:r xml:space="preserve">
        <w:t> </w:t>
      </w:r>
      <w:r xml:space="preserve">
        <w:t> </w:t>
      </w:r>
      <w:r>
        <w:rPr>
          <w:u w:val="single"/>
        </w:rPr>
        <w:t xml:space="preserve">a course offered by the institution providing course credit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field of study curriculum developed by the board under Section 61.823;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of study curriculum established by the board under Section 61.8235;</w:t>
      </w:r>
    </w:p>
    <w:p w:rsidR="003F3435" w:rsidRDefault="0032493E">
      <w:pPr>
        <w:spacing w:line="480" w:lineRule="auto"/>
        <w:ind w:firstLine="1440"/>
        <w:jc w:val="both"/>
      </w:pPr>
      <w:r>
        <w:rPr>
          <w:u w:val="single"/>
        </w:rPr>
        <w:t xml:space="preserve">(3)</w:t>
      </w:r>
      <w:r xml:space="preserve">
        <w:t> </w:t>
      </w:r>
      <w:r xml:space="preserve">
        <w:t> </w:t>
      </w:r>
      <w:r>
        <w:t xml:space="preserve">a career and technical education course that applies to any certificate or associate's degree offered by the institution providing course credit;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foreign language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S, Chapter 61, Education Code, is amended by adding Section 61.8221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61.8221.</w:t>
      </w:r>
      <w:r>
        <w:rPr>
          <w:u w:val="single"/>
        </w:rPr>
        <w:t xml:space="preserve"> </w:t>
      </w:r>
      <w:r>
        <w:rPr>
          <w:u w:val="single"/>
        </w:rPr>
        <w:t xml:space="preserve"> </w:t>
      </w:r>
      <w:r>
        <w:rPr>
          <w:u w:val="single"/>
        </w:rPr>
        <w:t xml:space="preserve">STUDY AND REPORT ON CORE CURRICULUM.  (a) The board shall conduct a study and make recommendations to the legislature regarding the feasibility of implementing statewide meta majors for institutions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committee to assist the board in completing the board's duties under this section and provide the board with subject matter expertise and analysis. </w:t>
      </w:r>
      <w:r>
        <w:rPr>
          <w:u w:val="single"/>
        </w:rPr>
        <w:t xml:space="preserve"> </w:t>
      </w:r>
      <w:r>
        <w:rPr>
          <w:u w:val="single"/>
        </w:rPr>
        <w:t xml:space="preserve">The advisory committee consists of the following members appointed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public junior colleges designated by the applicable college to represent the college on the advisory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general academic teaching institutions designated by the applicable institution to represent the institution on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of members appointed to the advisory committee under Subsection (b)(2) must be representatives of a general academic teaching institution at which at least 25 percent of students enrolled at the institution for the 2018 fall semester were classified as transfer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under Subsection (b), the board shall, to the greatest extent practicable, ensure that the membership of the advisory committee is balanced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representation,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of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mission type of the general academic teaching institution or public junior college;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university system affiliation,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 enrollment;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institutional groupings under the board's higher education accountability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representation of faculty and administrators at general academic teaching institutions or public junior colleges;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representation of academic disciplines;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board determines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study and make recommendations to the board regarding the effectiveness of the requirements regarding the transfer of course credit between institutions of higher education for courses in the core curriculum under Section 61.822 in supporting more efficient undergraduate transfer between institutions of higher education. The study and recommendations must include an analysis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efficacy of dividing the recommended core curriculum for each meta major into a general academic core curriculum and an academic discipline core curriculum and, if determined to be efficacious, the recommended number of semester credit hours for each component of the recommended core curriculum for each meta major;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ensure that courses completed in the general academic core curriculum and academic discipline core curriculum transfer between institutions of higher education for course credit applied toward a student's major at the receiving institution;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inclusion of courses in the field of study curricula adopted by the board under Section 61.823 in the recommended core curriculum adopted by the board under Section 61.822.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quarter ending before November 1, 2020, the board shall submit to the chairs of the standing legislative committees with primary jurisdiction over higher education a report on the board's progress on the study and recommendations required under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November 1, 2020, the board shall submit to the lieutenant governor, the speaker of the house of representatives, and the standing legislative committees with primary jurisdiction over higher education a report on the results of the study conducted under Subsection (a) and any recommendations for legislative or other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61.827, Education Code, is amended to read as follows:</w:t>
      </w:r>
    </w:p>
    <w:p w:rsidR="003F3435" w:rsidRDefault="0032493E">
      <w:pPr>
        <w:spacing w:line="480" w:lineRule="auto"/>
        <w:ind w:firstLine="720"/>
        <w:jc w:val="both"/>
      </w:pPr>
      <w:r>
        <w:t xml:space="preserve">Sec.</w:t>
      </w:r>
      <w:r xml:space="preserve">
        <w:t> </w:t>
      </w:r>
      <w:r>
        <w:t xml:space="preserve">61.827.</w:t>
      </w:r>
      <w:r xml:space="preserve">
        <w:t> </w:t>
      </w:r>
      <w:r xml:space="preserve">
        <w:t> </w:t>
      </w:r>
      <w:r>
        <w:t xml:space="preserve">RULES. </w:t>
      </w:r>
      <w:r>
        <w:t xml:space="preserve"> </w:t>
      </w:r>
      <w:r>
        <w:rPr>
          <w:u w:val="single"/>
        </w:rPr>
        <w:t xml:space="preserve">(a)</w:t>
      </w:r>
      <w:r xml:space="preserve">
        <w:t> </w:t>
      </w:r>
      <w:r xml:space="preserve">
        <w:t> </w:t>
      </w:r>
      <w:r>
        <w:t xml:space="preserve">The board is authorized to adopt rules implementing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regarding the recommended core curriculum developed under Section 61.822,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this Act applies beginning with the 2019-2020 academic year.</w:t>
      </w:r>
    </w:p>
    <w:p w:rsidR="003F3435" w:rsidRDefault="0032493E">
      <w:pPr>
        <w:spacing w:line="480" w:lineRule="auto"/>
        <w:ind w:firstLine="720"/>
        <w:jc w:val="both"/>
      </w:pPr>
      <w:r>
        <w:t xml:space="preserve">(b)</w:t>
      </w:r>
      <w:r xml:space="preserve">
        <w:t> </w:t>
      </w:r>
      <w:r xml:space="preserve">
        <w:t> </w:t>
      </w:r>
      <w:r>
        <w:t xml:space="preserve">Sections 51.96852 and 51.96853, Education Code, as added by this Act, apply beginning with the 2021-2022 academic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Each public institution of higher education required to submit a report under Section 51.4033 or 51.4034, Education Code, as added by this Act, shall submit the first report not later than March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