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w:t>
      </w:r>
      <w:r xml:space="preserve">
        <w:t> </w:t>
      </w:r>
      <w:r xml:space="preserve">
        <w:t> </w:t>
      </w:r>
      <w:r>
        <w:t xml:space="preserve">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xml:space="preserve">
        <w:t> </w:t>
      </w:r>
      <w:r xml:space="preserve">
        <w:t> </w:t>
      </w:r>
      <w:r>
        <w:t xml:space="preserve">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94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w:t>
      </w:r>
      <w:r>
        <w:t xml:space="preserve"> </w:t>
      </w:r>
      <w:r>
        <w:t xml:space="preserve">six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park-related bonds;</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portion of the state contributions for annuitant group coverages under the group benefits program operated by the Employees Retirement System of Texas under Chapter 1551, Insurance Code, attributable to sporting goods sales tax receipts</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t xml:space="preserve"> </w:t>
      </w:r>
      <w:r>
        <w:t xml:space="preserve">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 passed the Senate on April</w:t>
      </w:r>
      <w:r xml:space="preserve">
        <w:t> </w:t>
      </w:r>
      <w:r>
        <w:t xml:space="preserve">10,</w:t>
      </w:r>
      <w:r xml:space="preserve">
        <w:t> </w:t>
      </w:r>
      <w:r>
        <w:t xml:space="preserve">2019, by the following vote:  Yeas</w:t>
      </w:r>
      <w:r xml:space="preserve">
        <w:t> </w:t>
      </w:r>
      <w:r>
        <w:t xml:space="preserve">30, Nays</w:t>
      </w:r>
      <w:r xml:space="preserve">
        <w:t> </w:t>
      </w:r>
      <w:r>
        <w:t xml:space="preserve">0;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26 passed the House, with amendment, on April</w:t>
      </w:r>
      <w:r xml:space="preserve">
        <w:t> </w:t>
      </w:r>
      <w:r>
        <w:t xml:space="preserve">24,</w:t>
      </w:r>
      <w:r xml:space="preserve">
        <w:t> </w:t>
      </w:r>
      <w:r>
        <w:t xml:space="preserve">2019, by the following vote:  Yeas</w:t>
      </w:r>
      <w:r xml:space="preserve">
        <w:t> </w:t>
      </w:r>
      <w:r>
        <w:t xml:space="preserve">135,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