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ballot language requirements for a proposition seeking voter approval for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 Education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1251.052, Government Code, the question of whether to approve the issuance of bonds for the construction, acquisition, and equipment of school buildings in the district, the purchase of new school buses, and the purchase of necessary sites for school buildings may be submitted to the voters in a single ballot proposition, except that bonds for each of the following purposes must be stated in a separate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acquisition, or equipment of a stadium with seating capacity for more than 1,000 spectators;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acquisition, or equipment of a natatorium;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construction, acquisition, or equipment of another recreational facility other than a gymnasium, playground, or play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acquisition, or equipment of a performing arts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acquisition, or equipment of housing for teachers as determined by the district to be necessary to have a sufficient number of teachers for the district;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acquisition or update of technology equipment, other than equipment used for school security purposes or technology infrastructure integral to the construction of a facility.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question of whether to approve the issuance of bonds for a building described by Subsection (g)(1), (2), (3), (4), or (5) must be printed on the ballot as a separate ballot proposition regardless of whether that building is proposed as part of the same complex or building that contains traditional classroom facilities.  Each separate ballot proposition required by this subsection must state the principal amount of the bonds to be issued that constitutes the cost for construction of that portion of the building or complex attributable to the building described by Subsection (g)(1), (2), (3), (4), or (5) or to the traditional classroom facilities,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w:t>
      </w:r>
      <w:r>
        <w:rPr>
          <w:strike/>
        </w:rPr>
        <w:t xml:space="preserve">issuance of bonds or the</w:t>
      </w:r>
      <w:r>
        <w:t xml:space="preserv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w:t>
      </w:r>
      <w:r>
        <w:rPr>
          <w:strike/>
        </w:rPr>
        <w:t xml:space="preserve"> </w:t>
      </w:r>
      <w:r>
        <w:rPr>
          <w:strike/>
        </w:rPr>
        <w:t xml:space="preserve">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w:t xml:space="preserve">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w:t>
      </w:r>
      <w:r>
        <w:rPr>
          <w:u w:val="single"/>
        </w:rPr>
        <w:t xml:space="preserve"> </w:t>
      </w:r>
      <w:r>
        <w:rPr>
          <w:u w:val="single"/>
        </w:rPr>
        <w:t xml:space="preserve"> </w:t>
      </w:r>
      <w:r>
        <w:rPr>
          <w:u w:val="single"/>
        </w:rP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 language description of the single specific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single specific purpose for which debt obligations requiring voter approval are to be issued must be printed on the ballot as a separate proposition. </w:t>
      </w:r>
      <w:r>
        <w:rPr>
          <w:u w:val="single"/>
        </w:rPr>
        <w:t xml:space="preserve"> </w:t>
      </w:r>
      <w:r>
        <w:rPr>
          <w:u w:val="single"/>
        </w:rPr>
        <w:t xml:space="preserve">A proposition may include as a specific purpose one or more structures or improvements serving the substantially same purpose and may include related improvements and equipment necessary to accomplish the specific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 23, 2019, House granted request of the Senate; May 26, 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House, with amendments, on May 22, 2019, by the following vote:</w:t>
      </w:r>
      <w:r xml:space="preserve">
        <w:t> </w:t>
      </w:r>
      <w:r xml:space="preserve">
        <w:t> </w:t>
      </w:r>
      <w:r>
        <w:t xml:space="preserve">Yeas</w:t>
      </w:r>
      <w:r xml:space="preserve">
        <w:t> </w:t>
      </w:r>
      <w:r>
        <w:t xml:space="preserve">137, Nays</w:t>
      </w:r>
      <w:r xml:space="preserve">
        <w:t> </w:t>
      </w:r>
      <w:r>
        <w:t xml:space="preserve">5, three present not voting; May 23,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135, Nays</w:t>
      </w:r>
      <w:r xml:space="preserve">
        <w:t> </w:t>
      </w:r>
      <w:r>
        <w:t xml:space="preserve">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