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46</w:t>
      </w:r>
    </w:p>
    <w:p w:rsidR="003F3435" w:rsidRDefault="0032493E">
      <w:pPr>
        <w:ind w:firstLine="720"/>
        <w:jc w:val="both"/>
      </w:pPr>
      <w:r>
        <w:t xml:space="preserve">(Zwiener, Anchia, Button, Davis of Harris, Morrison,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w:t>
      </w:r>
      <w:r>
        <w:rPr>
          <w:u w:val="single"/>
        </w:rPr>
        <w:t xml:space="preserve"> </w:t>
      </w:r>
      <w:r>
        <w:rPr>
          <w:u w:val="single"/>
        </w:rPr>
        <w:t xml:space="preserve">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