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46</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w:t>
      </w:r>
      <w:r>
        <w:rPr>
          <w:u w:val="single"/>
        </w:rPr>
        <w:t xml:space="preserve"> </w:t>
      </w:r>
      <w:r>
        <w:rPr>
          <w:u w:val="single"/>
        </w:rPr>
        <w:t xml:space="preserve">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