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86R1874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on ensuring an appropriate care setting for a person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B, Chapter 531, Government Code, is amended by adding Section 531.02441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531.02441.</w:t>
      </w:r>
      <w:r>
        <w:rPr>
          <w:u w:val="single"/>
        </w:rPr>
        <w:t xml:space="preserve"> </w:t>
      </w:r>
      <w:r>
        <w:rPr>
          <w:u w:val="single"/>
        </w:rPr>
        <w:t xml:space="preserve"> </w:t>
      </w:r>
      <w:r>
        <w:rPr>
          <w:u w:val="single"/>
        </w:rPr>
        <w:t xml:space="preserve">INTERAGENCY TASK FORCE ON ENSURING APPROPRIATE CARE SETTINGS FOR PERSONS WITH DISABILITIES. (a)  The executive commissioner shall establish an interagency task force to assist the commission and appropriate health and human services agencies in developing a comprehensive, effectively working plan to ensure appropriate care settings for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determine the number of members of the task force.  The executive commissioner shall appoint as members of 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appropriate health and human services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of related work groups;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representatives of consumer and family advocacy groups;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representatives of service providers for persons with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designate a member of the task force to serve as presiding officer.  The members of the task force shall elect any other necessary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shall meet at the call of the executive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task force serves at the will of the executive commissioner.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task force may not receive compensation for serving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study and make recommendations to the commission on developing the comprehensive, effectively working plan required by Section 531.0244(a) to ensure appropriate care settings for persons with disabilities.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addition to making recommendations under Subsection (g), the task force shall advise the commission and appropriate health and human services agencies with respect to implementing the comprehensive, effectively working plan required by Section 531.0244(a), giving primary consideration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methods to identify and assess each person who resides in  an institution but chooses to live in the community and for whom a transfer from an institution to the community is appropriate, as determined by the person's treating professionals;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health and human services agencies' availability of community care and support options relating to all persons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addressing, and monitoring barriers to implementation of the plan to improve that implementation;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funding options for the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September 1 of each year, the task force shall submit a report to the executive commissioner on its findings and recommendations required by Subsection (g).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is abolished and 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executive commissioner of the Health and Human Services Commission shall establish the interagency task force under Section 531.02441,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