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86R1852 ATP-F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availability on the Internet of reports of political contributions and expenditures filed in connection with certain county judicial offices.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254, Election Code, is amended by adding Section 254.04012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254.04012.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AVAILABILITY OF REPORTS OF JUSTICES OF THE PEACE AND CERTAIN COUNTY JUDGES ON INTERNET.  (a)  A report filed under this chapter with a county clerk by a justice of the peace, a candidate for the office of justice of the peace, a judge of a county court at law, or a candidate for the office of judge of a county court at law must be made available to the public on the county's Internet website if the county maintains an Internet website.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county is required to make a report available on the county's Internet website under Subsection (a), the county shall make the report available for free and may not require a person to register with the county to view the report.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254.04012, Election Code, as added by this Act, applies only to a report required to be filed under Chapter 254, Election Code, that is due on or after January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