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motor vehicle sales and use tax for certain military servicemembers serving on active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152, Tax Code, is amended by adding Section 152.095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152.095.</w:t>
      </w:r>
      <w:r>
        <w:rPr>
          <w:u w:val="single"/>
        </w:rPr>
        <w:t xml:space="preserve"> </w:t>
      </w:r>
      <w:r>
        <w:rPr>
          <w:u w:val="single"/>
        </w:rPr>
        <w:t xml:space="preserve"> </w:t>
      </w:r>
      <w:r>
        <w:rPr>
          <w:u w:val="single"/>
        </w:rPr>
        <w:t xml:space="preserve">ACTIVE DUTY MILITARY SERVICEMEMBERS.  (a) </w:t>
      </w:r>
      <w:r>
        <w:rPr>
          <w:u w:val="single"/>
        </w:rPr>
        <w:t xml:space="preserve"> </w:t>
      </w:r>
      <w:r>
        <w:rPr>
          <w:u w:val="single"/>
        </w:rPr>
        <w:t xml:space="preserve">The taxes imposed by this chapter do not apply to the sale or use of a motor vehicle purchased by an active duty member of the United States armed forces for the member's own private use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deployed outside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who is eligible for an exemption under this section must apply to the comptroller for a certificate stating that the member is exempt from the taxes imposed by this chapter as provided by this section.  The comptroller shall issue the certificate if the comptroller determines that the member qualifies for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purchase of a motor vehicle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