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86R2614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high school graduation of a student who transfers to a public school in this state after the student's junior year of high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 Education Code, is amended by adding Subsection (c-9) to read as follows:</w:t>
      </w:r>
    </w:p>
    <w:p w:rsidR="003F3435" w:rsidRDefault="0032493E">
      <w:pPr>
        <w:spacing w:line="480" w:lineRule="auto"/>
        <w:ind w:firstLine="720"/>
        <w:jc w:val="both"/>
      </w:pPr>
      <w:r>
        <w:rPr>
          <w:u w:val="single"/>
        </w:rPr>
        <w:t xml:space="preserve">(c-9)</w:t>
      </w:r>
      <w:r>
        <w:rPr>
          <w:u w:val="single"/>
        </w:rPr>
        <w:t xml:space="preserve"> </w:t>
      </w:r>
      <w:r>
        <w:rPr>
          <w:u w:val="single"/>
        </w:rPr>
        <w:t xml:space="preserve"> </w:t>
      </w:r>
      <w:r>
        <w:rPr>
          <w:u w:val="single"/>
        </w:rPr>
        <w:t xml:space="preserve">Notwithstanding Subsection (c), a person may receive a diploma if the person is eligible for a diploma under Section 28.02592.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28, Education Code, is amended by adding Section 28.02592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28.02592.</w:t>
      </w:r>
      <w:r>
        <w:rPr>
          <w:u w:val="single"/>
        </w:rPr>
        <w:t xml:space="preserve"> </w:t>
      </w:r>
      <w:r>
        <w:rPr>
          <w:u w:val="single"/>
        </w:rPr>
        <w:t xml:space="preserve"> </w:t>
      </w:r>
      <w:r>
        <w:rPr>
          <w:u w:val="single"/>
        </w:rPr>
        <w:t xml:space="preserve">HIGH SCHOOL DIPLOMA AWARDED TO TRANSFER STUDENT ON BASIS OF INDIVIDUAL GRADUATION COMMITTEE REVIEW.  (a) </w:t>
      </w:r>
      <w:r>
        <w:rPr>
          <w:u w:val="single"/>
        </w:rPr>
        <w:t xml:space="preserve"> </w:t>
      </w:r>
      <w:r>
        <w:rPr>
          <w:u w:val="single"/>
        </w:rPr>
        <w:t xml:space="preserve">This section applies only to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transfers into the public school system of this state after completion of the student's 11th grade year in high school in a different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unable, based on the credit awarded to the student by the public school system for coursework completed in a different state, to comply with the curriculum requirements of this state for high school graduation by the end of the student's 12th grade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difficulty complying with the end-of-course assessment instrument requirements for high school graduation imposed under Section 39.025.</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student to whom this section applies, the school district that the student attends shall establish an individual graduation committee at the beginning of the student's 12th grade year to determine whether the student may qualify to graduate as provided by this section. </w:t>
      </w:r>
      <w:r>
        <w:rPr>
          <w:u w:val="single"/>
        </w:rPr>
        <w:t xml:space="preserve"> </w:t>
      </w:r>
      <w:r>
        <w:rPr>
          <w:u w:val="single"/>
        </w:rPr>
        <w:t xml:space="preserve">A student may not qualify to graduate under this section before the student's 12th grade year. </w:t>
      </w:r>
      <w:r>
        <w:rPr>
          <w:u w:val="single"/>
        </w:rPr>
        <w:t xml:space="preserve"> </w:t>
      </w:r>
      <w:r>
        <w:rPr>
          <w:u w:val="single"/>
        </w:rPr>
        <w:t xml:space="preserve">The committee shall be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or principal's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chair or lead teacher for each subject for which an end-of-course assessment instrument is administered under Section 39.023(c);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student's parent or person standing in parental relation to the student or the student, if the student is at least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superintendent of each school district shall establish procedures for the convening of an individual graduation committee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a student for whom an individual graduation committee is established is qualified to graduate, the committee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recommendation of the student's teacher in each course for which the student was not administered an end-of-course assessment instrument;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performance on each:</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alternative nationally recognized norm-referenced assessment instrument that the student requests to be considered;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Texas Success Initiative (TSI) assessment instrument that the student requests to be considered;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student's overall preparedness for postsecondary success;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academic information designated for consideration by the board of trustees of the school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considering the criteria under Subsection (d), the individual graduation committee may determine that the student is qualified to graduate. </w:t>
      </w:r>
      <w:r>
        <w:rPr>
          <w:u w:val="single"/>
        </w:rPr>
        <w:t xml:space="preserve"> </w:t>
      </w:r>
      <w:r>
        <w:rPr>
          <w:u w:val="single"/>
        </w:rPr>
        <w:t xml:space="preserve">The commissioner by rule shall establish a timeline for making a determination under this subsection. </w:t>
      </w:r>
      <w:r>
        <w:rPr>
          <w:u w:val="single"/>
        </w:rPr>
        <w:t xml:space="preserve"> </w:t>
      </w:r>
      <w:r>
        <w:rPr>
          <w:u w:val="single"/>
        </w:rPr>
        <w:t xml:space="preserve">The decision of a committee is final and may not be appealed.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39.025, Education Code, is amended by adding Subsections (h) and (i)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provision of this section, the commissioner shall allow a student to satisfy the requirements of Subsection (a) and qualify for a high school diploma through satisfactory performance on one or more alternative nationally recognized norm-referenced assessment instruments or Texas Success Initiative (TSI) assessment instruments if the student transfers into the public school system of this state after completion of the student's 11th grade year in high school in a different state and the student receives a recommendation by the student's individual graduation committee under Section 28.02592 that the student qualifies for a high school diploma.</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Subsection (h), the commissioner, in order to ensure that a student described by that subsection may satisfy the requirements of Subsection (a) solely through performance on one or more alternative nationally recognized norm-referenced assessment instruments or Texas Success Initiative (TSI) assessment instruments, shall establish required performance levels for the assessment instruments that correspond to the performance levels otherwise required under Subsection (a) on the secondary exit-level assessment instruments for English language arts, mathematics, social studies, and science.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28.02592, Education Code, as added by this Act, and Section 39.025, Education Code, as amended by this Act, apply beginning with students enrolled in public high schools in this state as a senior during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