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2018; February</w:t>
      </w:r>
      <w:r xml:space="preserve">
        <w:t> </w:t>
      </w:r>
      <w:r>
        <w:t xml:space="preserve">1,</w:t>
      </w:r>
      <w:r xml:space="preserve">
        <w:t> </w:t>
      </w:r>
      <w:r>
        <w:t xml:space="preserve">2019, read first time and referred to Committee on Property Tax; April</w:t>
      </w:r>
      <w:r xml:space="preserve">
        <w:t> </w:t>
      </w:r>
      <w:r>
        <w:t xml:space="preserve">15,</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5, Nays</w:t>
      </w:r>
      <w:r xml:space="preserve">
        <w:t> </w:t>
      </w:r>
      <w:r>
        <w:t xml:space="preserve">0; April</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58</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from ad valorem taxation of leased motor vehicles that are not held primarily for the production of income by the lessee.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11.252, Tax Code, is amended to read as follows:</w:t>
      </w:r>
    </w:p>
    <w:p w:rsidR="003F3435" w:rsidRDefault="0032493E">
      <w:pPr>
        <w:spacing w:line="480" w:lineRule="auto"/>
        <w:ind w:firstLine="720"/>
        <w:jc w:val="both"/>
      </w:pPr>
      <w:r>
        <w:t xml:space="preserve">Sec.</w:t>
      </w:r>
      <w:r xml:space="preserve">
        <w:t> </w:t>
      </w:r>
      <w:r>
        <w:t xml:space="preserve">11.252.</w:t>
      </w:r>
      <w:r xml:space="preserve">
        <w:t> </w:t>
      </w:r>
      <w:r xml:space="preserve">
        <w:t> </w:t>
      </w:r>
      <w:r>
        <w:t xml:space="preserve">MOTOR VEHICLES LEASED FOR [</w:t>
      </w:r>
      <w:r>
        <w:rPr>
          <w:strike/>
        </w:rPr>
        <w:t xml:space="preserve">PERSONAL</w:t>
      </w:r>
      <w:r>
        <w:t xml:space="preserve">] USE </w:t>
      </w:r>
      <w:r>
        <w:rPr>
          <w:u w:val="single"/>
        </w:rPr>
        <w:t xml:space="preserve">OTHER THAN PRODUCTION OF INCOME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11.252(b) and (d), Tax Code, are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a motor vehicle is presumed to be used primarily for activities that do not involve the production of income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50 percent or more of the miles the motor vehicle is driven in a year are for non-income producing purposes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motor vehicle is leased to this state or a political subdivision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motor vehicle: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leased to an organization that is exempt from federal income taxation under Section 501(a), Internal Revenue Code of 1986, as an organization described by Section 501(c)(3) of that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would be exempt from taxation if the vehicle were owned by the organization</w:t>
      </w:r>
      <w:r>
        <w:t xml:space="preserve">.</w:t>
      </w:r>
    </w:p>
    <w:p w:rsidR="003F3435" w:rsidRDefault="0032493E">
      <w:pPr>
        <w:spacing w:line="480" w:lineRule="auto"/>
        <w:ind w:firstLine="720"/>
        <w:jc w:val="both"/>
      </w:pPr>
      <w:r>
        <w:t xml:space="preserve">(d)</w:t>
      </w:r>
      <w:r xml:space="preserve">
        <w:t> </w:t>
      </w:r>
      <w:r xml:space="preserve">
        <w:t> </w:t>
      </w:r>
      <w:r>
        <w:t xml:space="preserve">In connection with the requirements and procedures under Subsection (c), the comptroller by rule shall adopt a form to be completed by the lessee of a motor vehicle for which the owner of the vehicle may apply for an exemption under Subsection (a).  The form shall require </w:t>
      </w:r>
      <w:r>
        <w:rPr>
          <w:u w:val="single"/>
        </w:rPr>
        <w:t xml:space="preserve">a</w:t>
      </w:r>
      <w:r>
        <w:t xml:space="preserve"> [</w:t>
      </w:r>
      <w:r>
        <w:rPr>
          <w:strike/>
        </w:rPr>
        <w:t xml:space="preserve">the</w:t>
      </w:r>
      <w:r>
        <w:t xml:space="preserve">] lessee </w:t>
      </w:r>
      <w:r>
        <w:rPr>
          <w:u w:val="single"/>
        </w:rPr>
        <w:t xml:space="preserve">who is an individual</w:t>
      </w:r>
      <w:r>
        <w:t xml:space="preserve"> to provide the lessee's name, address, and driver's license or personal identification certificate number</w:t>
      </w:r>
      <w:r>
        <w:rPr>
          <w:u w:val="single"/>
        </w:rPr>
        <w:t xml:space="preserve">.  The form shall require a lessee that is an entity described by Subsection (b) to provide the lessee's name, address, and, if applicable, federal tax identification number.  The form shall require a lessee who is an individual, or the authorized representative of a lessee that is an entity described by Subsection (b),</w:t>
      </w:r>
      <w:r>
        <w:t xml:space="preserve"> [</w:t>
      </w:r>
      <w:r>
        <w:rPr>
          <w:strike/>
        </w:rPr>
        <w:t xml:space="preserve">and</w:t>
      </w:r>
      <w:r>
        <w:t xml:space="preserve">] to certify under oath that the lessee does not hold the vehicle for the production of income and that the vehicle is used primarily for activities that do not involve the production of income.  The comptroller shall include on the form a notice of the penalties prescribed by Section 37.10, Penal Code, for making a false statement on the form.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