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Business &amp; Commerce; March</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captured for the purpose of delivering consumer goods that were ordered through an Internet website or mobile application and the operator of the unmanned aircraft is authorized by the Federal Aviation Administration to conduct operations within the airspace from which the image is captured;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publicly disclosed, displayed, or distributed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