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ad valorem tax system;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5.041(b), (c), (e-1), and (e-3),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w:t>
      </w:r>
      <w:r>
        <w:rPr>
          <w:u w:val="single"/>
        </w:rPr>
        <w:t xml:space="preserve">for each</w:t>
      </w:r>
      <w:r>
        <w:t xml:space="preserve"> </w:t>
      </w:r>
      <w:r>
        <w:t xml:space="preserve">[</w:t>
      </w:r>
      <w:r>
        <w:rPr>
          <w:strike/>
        </w:rPr>
        <w:t xml:space="preserve">per</w:t>
      </w:r>
      <w:r>
        <w:t xml:space="preserve">] person trained. </w:t>
      </w:r>
      <w:r>
        <w:t xml:space="preserve">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continuing education course, but the fee may not exceed $50 for each person trained.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 </w:t>
      </w:r>
      <w:r>
        <w:rPr>
          <w:u w:val="single"/>
        </w:rPr>
        <w:t xml:space="preserve"> </w:t>
      </w:r>
      <w:r>
        <w:rPr>
          <w:u w:val="single"/>
        </w:rPr>
        <w:t xml:space="preserve">If the training is provided to an individual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5.102(a),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taxpayer assistance provided, and the operating and appraisal standards, procedures, and methodology used by each appraisal district, to determine compliance with generally accepted standards, procedures, and methodology.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appraisal review board survey form that allows an individual described by Subsection (b) to submit comments and suggestions to the comptroller regarding an appraisal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instructions for completing and submitting the form;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maintain a web page on the comptroller's Internet website that allows an individual described by Subsection (b) to electronically complete and submit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who attend a hearing in person or by telephone conference call on a motion filed under Section 25.25 to correct the appraisal roll or a protest under Chapter 41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whose property is the subject of the motion or protest;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to each property owner or designated agent of the owner who is authorized to submit a survey form under this section a document that states that the owner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complete and submit the survey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submit the form to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mail;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web page required to be established by the comptroller under Subsection (a)(3);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obtain a paper copy of the form and instructions for completing the form at the appraisal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document described by Subsection (d) must include the uniform resource locator (URL) address of the web page required to be established by the comptroller under Subsection (a)(3).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appraisal district must provide the document described by Subsection (d) to a property owner or the designated agent of the owner at or before the first hearing on the motion or protest described by Subsection (b) for which the owner or agent is authorized to complete and submit the survey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the web page required to be established by the comptroller under Subsection (a)(3).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tax year.  The report may not disclose the identity of an individual who submitted a survey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w:t>
      </w:r>
      <w:r xml:space="preserve">
        <w:t> </w:t>
      </w:r>
      <w:r xml:space="preserve">
        <w:t>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present at a meeting of the board is sufficient for a recommendation, determination, decision, or other action by the board.  The concurrence of a majority of the members of a panel of the board present at a meeting of the panel is sufficient for a recommendation or other action by the panel.  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41.46,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deliver to the property owner initiating the protest notice of a protest hearing under this section by certified mail if the owner requests delivery by that method in the owner's notice of protest under Section 41.44.  The board may require the owner to pay the cost to deliver the notice by certified mail.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designated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owner or agent to the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delivers information requested by a property owner or the designated agent of the owner under Subsection (a)(2) by referring the owner or agent to a uniform resource locator (URL) address on an Internet website as authorized by Subsection (c)(3), the referral must contain a statement in a conspicuous font that clearly indicates that the owner or agent may on request receive the information by regular first-class mail. </w:t>
      </w:r>
      <w:r>
        <w:rPr>
          <w:u w:val="single"/>
        </w:rPr>
        <w:t xml:space="preserve"> </w:t>
      </w:r>
      <w:r>
        <w:rPr>
          <w:u w:val="single"/>
        </w:rPr>
        <w:t xml:space="preserve">On request by a property owner or the designated agent of the owner, the chief appraiser must provide the information by regular first-class mail.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41.47, Tax Code, is amended by adding Subsections (a-1) and (f) and amending Subsection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41.66, Tax Code, is amended by amending Subsections (h), (i), and (j) and adding Subsections (j-1)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w:t>
      </w:r>
      <w:r>
        <w:rPr>
          <w:u w:val="single"/>
        </w:rPr>
        <w:t xml:space="preserve">first</w:t>
      </w:r>
      <w:r>
        <w:t xml:space="preserve"> scheduled [</w:t>
      </w:r>
      <w:r>
        <w:rPr>
          <w:strike/>
        </w:rPr>
        <w:t xml:space="preserve">or postponed</w:t>
      </w:r>
      <w:r>
        <w:t xml:space="preserve">]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courses for training and education of appraisal review board members established under Sections 5.041(a) and (e-1) and be issued a certificate for each course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41A.061(b)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(c)</w:t>
      </w:r>
      <w:r xml:space="preserve">
        <w:t> </w:t>
      </w:r>
      <w:r xml:space="preserve">
        <w:t> </w:t>
      </w:r>
      <w:r>
        <w:t xml:space="preserve">The comptroller shall remove a person from the registry if:</w:t>
      </w:r>
    </w:p>
    <w:p w:rsidR="003F3435" w:rsidRDefault="0032493E">
      <w:pPr>
        <w:spacing w:line="480" w:lineRule="auto"/>
        <w:ind w:firstLine="1440"/>
        <w:jc w:val="both"/>
      </w:pPr>
      <w:r>
        <w:t xml:space="preserve">(1)</w:t>
      </w:r>
      <w:r xml:space="preserve">
        <w:t> </w:t>
      </w:r>
      <w:r xml:space="preserve">
        <w:t> </w:t>
      </w:r>
      <w:r>
        <w:t xml:space="preserve">the person fails or declines to renew the person's agreement to serve as an arbitrator in the manner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comptroller determines by clear and convincing evidence that there is good cause to remove the person from the registry, including evidence of repeated bias or misconduct by the person while acting as an arbitrator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fails to 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certifies that the program is substantially revised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Sections 5.103(e) and (f), Tax Code;</w:t>
      </w:r>
    </w:p>
    <w:p w:rsidR="003F3435" w:rsidRDefault="0032493E">
      <w:pPr>
        <w:spacing w:line="480" w:lineRule="auto"/>
        <w:ind w:firstLine="1440"/>
        <w:jc w:val="both"/>
      </w:pPr>
      <w:r>
        <w:t xml:space="preserve">(3)</w:t>
      </w:r>
      <w:r xml:space="preserve">
        <w:t> </w:t>
      </w:r>
      <w:r xml:space="preserve">
        <w:t> </w:t>
      </w:r>
      <w:r>
        <w:t xml:space="preserve">Section 6.412(e), Tax Code; and</w:t>
      </w:r>
    </w:p>
    <w:p w:rsidR="003F3435" w:rsidRDefault="0032493E">
      <w:pPr>
        <w:spacing w:line="480" w:lineRule="auto"/>
        <w:ind w:firstLine="1440"/>
        <w:jc w:val="both"/>
      </w:pPr>
      <w:r>
        <w:t xml:space="preserve">(4)</w:t>
      </w:r>
      <w:r xml:space="preserve">
        <w:t> </w:t>
      </w:r>
      <w:r xml:space="preserve">
        <w:t> </w:t>
      </w:r>
      <w:r>
        <w:t xml:space="preserve">Section 41A.06(c), Tax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5.041, Tax Code, as amended by this Act, applies only to an appraisal review board member appointed to serve a term of office that begins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comptroller shall implement Section 5.043, Tax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comptroller shall establish the web page and prepare and make available the survey form and instructions for completing and submitting the form required by Section 5.104, Tax Code, as added by this Act, as soon as practicable after the effective date of this Act. An appraisal district is not required to provide the document described by Subsection (d) of that section to a property owner or the designated agent of the owner and is not required to provide the survey form or instructions under a requirement of that section until the web page is established and the form and instructions are prepared and made available by the comptroller.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6.412, Tax Code, as amended by this Act, does not affect the eligibility of a person serving on an appraisal review board immediately before the effective date of this Act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the effective date of this Act.  A recommendation, determination, decision, or other action by an appraisal review board or a panel of such a board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to Chapter 41, Tax Code, apply only to a protest for which the notice of protest was filed by a property owner or the designated agent of the owner with the appraisal review board established for an appraisal district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the effective date of this Act to continue to serve as an arbitrator and to conduct hearings on arbitrations until the person is required to renew the person's agreement with the comptroller to serve as an arbitrator.  The changes in law apply only to a person who initially qualifies to serve as an arbitrator or who renews the person's agreement with the comptroller to serve as an arbitrator on or after the effective date of this Act.  This Act does not prohibit a person who is serving as an arbitrator on the effective date of this Act from renewing the person's agreement with the comptroller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