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strategic fiscal reviews of state agencies and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322, Government Code, is amended by adding Section 322.0175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322.0175.</w:t>
      </w:r>
      <w:r>
        <w:rPr>
          <w:u w:val="single"/>
        </w:rPr>
        <w:t xml:space="preserve"> </w:t>
      </w:r>
      <w:r>
        <w:rPr>
          <w:u w:val="single"/>
        </w:rPr>
        <w:t xml:space="preserve"> </w:t>
      </w:r>
      <w:r>
        <w:rPr>
          <w:u w:val="single"/>
        </w:rPr>
        <w:t xml:space="preserve">STRATEGIC FISCAL REVIEW OF STATE AGENCIES AND PROGRAMS. </w:t>
      </w:r>
      <w:r>
        <w:rPr>
          <w:u w:val="single"/>
        </w:rPr>
        <w:t xml:space="preserve"> </w:t>
      </w:r>
      <w:r>
        <w:rPr>
          <w:u w:val="single"/>
        </w:rPr>
        <w:t xml:space="preserve">(a)</w:t>
      </w:r>
      <w:r>
        <w:rPr>
          <w:u w:val="single"/>
        </w:rPr>
        <w:t xml:space="preserve"> </w:t>
      </w:r>
      <w:r>
        <w:rPr>
          <w:u w:val="single"/>
        </w:rPr>
        <w:t xml:space="preserve"> </w:t>
      </w:r>
      <w:r>
        <w:rPr>
          <w:u w:val="single"/>
        </w:rPr>
        <w:t xml:space="preserve">The board shall perform a strategic fiscal review for each state agency currently the subject of Sunset Advisory Commission review under Chapter 325 (Texas Sunset Act). </w:t>
      </w:r>
      <w:r>
        <w:rPr>
          <w:u w:val="single"/>
        </w:rPr>
        <w:t xml:space="preserve"> </w:t>
      </w:r>
      <w:r>
        <w:rPr>
          <w:u w:val="single"/>
        </w:rPr>
        <w:t xml:space="preserve">The board shall not perform a review under this section of state agencies listed in Section 325.025(b), Government Code, because these agencies are not subject to the legislative appropriations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prepare and submit a report of the findings of the strategic fiscal review by September 1 of the even-numbered year of the biennium during which the review is conducted to the governor, lieutenant governor, and speaker of the house of representatives and to the members of the senate finance and house appropriations committees.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strategic fiscal review report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discrete activities the state agency is charged with conducting or performing together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justification for each activity by reference to a statute or other legal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 the effectiveness and efficiency of the state agency's policies, management, fiscal affairs, and operations in relation to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activity identified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quantitative estimate of any adverse effects that reasonably may be expected to result if the activity were discontinued, together with a description of the methods by which the adverse effects were estimated;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itemized account of expenditures required to maintain the activity at the minimum level of service or performance required by the statute or other legal authority, together with a concise statement of the quantity and quality of service or performance required at that minimum level;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itemized account of expenditures required to maintain the activity at the current level of service or performance, together with a concise statement of the quantity and quality of service or performance provided at that current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ranking of activities identified under Subdivision (1) that illustrates the relative importance of each activity to the overall goals and purposes of the state agency at current service or performance levels;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legislature regarding whether the legislature should continue funding each activity identified under Subdivision (1) and, if so, at what level.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may consider the strategic fiscal review reports in connection with the legislative appropriations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Until the board has completed a strategic fiscal review under this section, all information, documentary or otherwise, prepared or maintained in conducting the strategic fiscal review or preparing the strategic fiscal review report, including intra-agency and interagency communications and drafts of the strategic fiscal review report, or portions of those drafts, is excepted from required public disclosure as audit working papers under Section 552.116.  This subsection does not affect whether information described by this subsection is confidential or excepted from required public disclosure under a law other than Section 552.116.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 passed the Senate on April</w:t>
      </w:r>
      <w:r xml:space="preserve">
        <w:t> </w:t>
      </w:r>
      <w:r>
        <w:t xml:space="preserve">11,</w:t>
      </w:r>
      <w:r xml:space="preserve">
        <w:t> </w:t>
      </w:r>
      <w:r>
        <w:t xml:space="preserve">2019, by the following vote:  Yeas</w:t>
      </w:r>
      <w:r xml:space="preserve">
        <w:t> </w:t>
      </w:r>
      <w:r>
        <w:t xml:space="preserve">31, Nays</w:t>
      </w:r>
      <w:r xml:space="preserve">
        <w:t> </w:t>
      </w:r>
      <w:r>
        <w:t xml:space="preserve">0; and that the Senate concurred in House amendment on May</w:t>
      </w:r>
      <w:r xml:space="preserve">
        <w:t> </w:t>
      </w:r>
      <w:r>
        <w:t xml:space="preserve">23,</w:t>
      </w:r>
      <w:r xml:space="preserve">
        <w:t> </w:t>
      </w:r>
      <w:r>
        <w:t xml:space="preserve">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 passed the House, with amendment, on May</w:t>
      </w:r>
      <w:r xml:space="preserve">
        <w:t> </w:t>
      </w:r>
      <w:r>
        <w:t xml:space="preserve">17,</w:t>
      </w:r>
      <w:r xml:space="preserve">
        <w:t> </w:t>
      </w:r>
      <w:r>
        <w:t xml:space="preserve">2019, by the following vote:  Yeas</w:t>
      </w:r>
      <w:r xml:space="preserve">
        <w:t> </w:t>
      </w:r>
      <w:r>
        <w:t xml:space="preserve">141,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