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68</w:t>
      </w:r>
    </w:p>
    <w:p w:rsidR="003F3435" w:rsidRDefault="0032493E">
      <w:pPr>
        <w:ind w:firstLine="720"/>
        <w:jc w:val="both"/>
      </w:pPr>
      <w:r>
        <w:t xml:space="preserve">(Schaefer)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strategic fiscal reviews of state agencies and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322, Government Code, is amended by adding Section 322.0175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322.0175.</w:t>
      </w:r>
      <w:r>
        <w:rPr>
          <w:u w:val="single"/>
        </w:rPr>
        <w:t xml:space="preserve"> </w:t>
      </w:r>
      <w:r>
        <w:rPr>
          <w:u w:val="single"/>
        </w:rPr>
        <w:t xml:space="preserve"> </w:t>
      </w:r>
      <w:r>
        <w:rPr>
          <w:u w:val="single"/>
        </w:rPr>
        <w:t xml:space="preserve">STRATEGIC FISCAL REVIEW OF STATE AGENCIES AND PROGRAMS.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perform a strategic fiscal review for each state agency currently the subject of Sunset Advisory Commission review under Chapter 325 (Texas Sunset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prepare and submit a report of the findings of the strategic fiscal review by September 1 of the even-numbered year of the biennium during which the review is conducted to the governor, lieutenant governor, and speaker of the house of representatives and to the members of the senate finance and house appropriations committees.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strategic fiscal review report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state agency is charged with conducting or performing together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justification for each activity by reference to a statute or other legal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of the effectiveness and efficiency of the state agency's policies, management, fiscal affairs, and operations in relation to each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reasonably may be expected to result if the activity were discontinued, together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the minimum level of service or performance required by the statute or other legal authority, together with a concise statement of the quantity and quality of service or performance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or performance, together with a concise statement of the quantity and quality of service or performance provided at that current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state agency at current service or performance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to the legislature regarding whether the legislature should continue funding each activity identified under Subdivision (1) and, if so, at what level.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may consider the strategic fiscal review reports in connection with the legislative appropriations process.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Until the board has completed a strategic fiscal review under this section, all information, documentary or otherwise, prepared or maintained in conducting the strategic fiscal review or preparing the strategic fiscal review report, including intra-agency and interagency communications and drafts of the strategic fiscal review report, or portions of those drafts, is excepted from required public disclosure as audit working papers under Section 552.116.  This subsection does not affect whether information described by this subsection is confidential or excepted from required public disclosure under a law other than Section 552.116.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