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Hall, 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Creighton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security of the electric grid.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39, Utilities Code, is amended by adding Section 39.917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39.917.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GRID SECURITY COUNCIL.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shall appoint members of the grid security council. Council membership must include at least one representative of each of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independent organization certified under Section 39.151 for the ERCOT power region;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Military Department;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Division of Emergency Management;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Office of Risk Management;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power generation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shall monitor economic, environmental, regulatory, and technological developments that may affect the security of the electric grid.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November 1 preceding each regular session of the legislature, the council shall prepare and submit a report to the legislature analyzing: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developments listed in Subsection 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progress made towards implementing the council's previous grid security recommendations.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shall designate a member of the council to serve as presiding officer.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council is not entitled to compensation.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The grid security council shall evaluate security vulnerabilities of the electric grid and strategies for securing the grid against: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cyber threats;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physical threats;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weather threats;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solar storm threats;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threats of sabotage;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threats relating to electromagnetic pulses.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November 1, 2020, the council shall prepare and submit a report to the legislature with recommendations for addressing the threats identified in Subsection (a) of this section. </w:t>
      </w:r>
      <w:r>
        <w:t xml:space="preserve"> </w:t>
      </w:r>
      <w:r>
        <w:t xml:space="preserve">The council's report shall include recommendations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state agency rule changes;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legislation;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management changes at the Public Utility Commission of Texas, the Texas Military Department, the Texas Division of Emergency Management, and the State Office of Risk Management.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first report described by Section 39.917(c), Utilities Code, as added by this Act, is due November 1, 2022.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