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12,</w:t>
      </w:r>
      <w:r xml:space="preserve">
        <w:t> </w:t>
      </w:r>
      <w:r>
        <w:t xml:space="preserve">2018; February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Natural Resources &amp; Economic Development;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2;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security of the electric grid.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39, Utilities Code, is amended by adding Section 39.917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39.917.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GRID SECURITY COUNCIL.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shall appoint members of the grid security council. Council membership must include at least one representative of each of the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independent organization certified under Section 39.151 for the ERCOT power region;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Military Department;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Division of Emergency Management;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Office of Risk Management;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power generation companies.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council shall monitor economic, environmental, regulatory, and technological developments that may affect the security of the electric grid.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November 1 preceding each regular session of the legislature, the council shall prepare and submit a report to the legislature analyzing: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developments listed in Subsection 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progress made towards implementing the council's previous grid security recommendations.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shall designate a member of the council to serve as presiding officer.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council is not entitled to compensation.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The grid security council shall evaluate security vulnerabilities of the electric grid and strategies for securing the grid against: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cyber threats;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physical threats;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weather threats;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solar storm threats;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threats of sabotage;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threats relating to electromagnetic pulses.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November 1, 2020, the council shall prepare and submit a report to the legislature with recommendations for addressing the threats identified in Subsection (a) of this section. </w:t>
      </w:r>
      <w:r>
        <w:t xml:space="preserve"> </w:t>
      </w:r>
      <w:r>
        <w:t xml:space="preserve">The council's report shall include recommendations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state agency rule changes;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legislation;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management changes at the Public Utility Commission of Texas, the Texas Military Department, the Texas Division of Emergency Management, and the State Office of Risk Management.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first report described by Section 39.917(c), Utilities Code, as added by this Act, is due November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