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unlawful employment practices relating to the reporting of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Labor Code, is amended by adding Section 21.0605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21.0605.</w:t>
      </w:r>
      <w:r>
        <w:rPr>
          <w:u w:val="single"/>
        </w:rPr>
        <w:t xml:space="preserve"> </w:t>
      </w:r>
      <w:r>
        <w:rPr>
          <w:u w:val="single"/>
        </w:rPr>
        <w:t xml:space="preserve"> </w:t>
      </w:r>
      <w:r>
        <w:rPr>
          <w:u w:val="single"/>
        </w:rPr>
        <w:t xml:space="preserve">CERTAIN AGREEMENTS PROHIBITING REPORTING OF CRIMINAL OFFENSES VOID AND UNENFORCEABLE.  (a)  A nondisclosure or confidentiality agreement or other agreement between an employer and an employee is void and unenforceable as against the public policy of this state to the extent the agreement prohibits the employee from notifying, or limits the employee's ability to notify, a local or state law enforcement agency or any state or federal regulatory agency of a criminal offense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an employee of the employer;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employee's place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commits an unlawful employment practice if the employer requires an employee or employment applicant, as a condition of employment or receipt of an employment benefit, to enter into an agreement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commits an unlawful employment practice if the employer retaliates in any manner against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opposes an unlawful employment practice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a complaint regarding a violation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testifies, assists, or participates in any manner in an investigation, hearing, or other proceeding to enforce this section;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notifies a local or state law enforcement agency or any state or federal regulatory agency of a criminal offense described by Subsection (a)(1)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21.0605(a), Labor Code, as added by this Act, applies to an agreement regardless of whether the agreement was entered into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21.0605(b) and (c), Labor Code, as added by this Act, apply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