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certain intoxication offenses and the eligibility for deferred adjudication community supervision of defendants who committed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42A.102(b),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49.045, 49.05, 49.065, 49.07, or 49.08</w:t>
      </w:r>
      <w:r>
        <w:t xml:space="preserve"> [</w:t>
      </w:r>
      <w:r>
        <w:rPr>
          <w:strike/>
        </w:rPr>
        <w:t xml:space="preserve">Sections 49.04-49.08</w:t>
      </w:r>
      <w:r>
        <w:t xml:space="preserve">], Penal Code;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under Section 49.04 or 49.06, Penal Code, and, at the time of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defendant held a commercial driver's license or a commercial learner's permit;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defendant's alcohol concentration, as defined by Section 49.01, Penal Code, was 0.16 or more;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which punishment may be increased under Section 49.09, Penal Code; or</w:t>
      </w:r>
    </w:p>
    <w:p w:rsidR="003F3435" w:rsidRDefault="0032493E">
      <w:pPr>
        <w:spacing w:line="480" w:lineRule="auto"/>
        <w:ind w:firstLine="2160"/>
        <w:jc w:val="both"/>
      </w:pPr>
      <w:r>
        <w:rPr>
          <w:u w:val="single"/>
        </w:rP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or 22.021, Penal Code, regardless of the age of the victim, or a felony described by Article 42A.453(b);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42A.408, Code of Criminal Procedure,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judge granting deferred adjudication community supervision to a defendant for an offense under Section 49.04 or 49.06, Penal Code, shall require that the defendant as a condition of community supervision have an ignition interlock device installed on the motor vehicle owned by the defendant or on the vehicle most regularly driven by the defendant and that the defendant not operate any motor vehicle that is not equipped with that device, unless the judge finds that restricting the defendant to the operation of a motor vehicle equipped with an ignition interlock device would not be in the best interest of society and enters that finding in the record.  This subsection applies regardless of whether the defendant would be required to have an ignition interlock device installed on conviction of the offense for which deferred adjudication community supervision is granted. </w:t>
      </w:r>
      <w:r>
        <w:rPr>
          <w:u w:val="single"/>
        </w:rPr>
        <w:t xml:space="preserve"> </w:t>
      </w:r>
      <w:r>
        <w:rPr>
          <w:u w:val="single"/>
        </w:rPr>
        <w:t xml:space="preserve">If the judge determines the defendant is unable to pay for the ignition interlock device, the judge may impose a reasonable payment schedule, as provided by Subsection (f). </w:t>
      </w:r>
      <w:r>
        <w:rPr>
          <w:u w:val="single"/>
        </w:rPr>
        <w:t xml:space="preserve"> </w:t>
      </w:r>
      <w:r>
        <w:rPr>
          <w:u w:val="single"/>
        </w:rPr>
        <w:t xml:space="preserve">If the defendant provides the court evidence under Section 708.158, Transportation Code, sufficient to establish that the defendant is indigent for purposes of that section, the judge may enter a finding that the defendant is indigent in the record and reduce the costs to the defendant by ordering a waiver of the installation charge for the ignition interlock device and a 50 percent reduction of the monthly device monitoring fee.  A reduction in costs ordered under this subsection does not apply to any fees that may be assessed against the defendant if the ignition interlock device detects ethyl alcohol on the breath of the person attempting to operate the motor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411.074(b),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person may not be granted an order of nondisclosure of criminal history record information under this subchapter and is not entitled to petition the court for an order under this subchapter if:</w:t>
      </w:r>
    </w:p>
    <w:p w:rsidR="003F3435" w:rsidRDefault="0032493E">
      <w:pPr>
        <w:spacing w:line="480" w:lineRule="auto"/>
        <w:ind w:firstLine="1440"/>
        <w:jc w:val="both"/>
      </w:pPr>
      <w:r>
        <w:t xml:space="preserve">(1)</w:t>
      </w:r>
      <w:r xml:space="preserve">
        <w:t> </w:t>
      </w:r>
      <w:r xml:space="preserve">
        <w:t> </w:t>
      </w:r>
      <w:r>
        <w:t xml:space="preserve">the person was convicted or placed on deferred adjudication community supervision for or has been previously convicted or placed on any other deferred adjudication community supervision for:</w:t>
      </w:r>
    </w:p>
    <w:p w:rsidR="003F3435" w:rsidRDefault="0032493E">
      <w:pPr>
        <w:spacing w:line="480" w:lineRule="auto"/>
        <w:ind w:firstLine="2160"/>
        <w:jc w:val="both"/>
      </w:pPr>
      <w:r>
        <w:t xml:space="preserve">(A)</w:t>
      </w:r>
      <w:r xml:space="preserve">
        <w:t> </w:t>
      </w:r>
      <w:r xml:space="preserve">
        <w:t> </w:t>
      </w:r>
      <w:r>
        <w:t xml:space="preserve">an offense requiring registration as a sex offender under Chapter 62, Code of Criminal Procedure;</w:t>
      </w:r>
    </w:p>
    <w:p w:rsidR="003F3435" w:rsidRDefault="0032493E">
      <w:pPr>
        <w:spacing w:line="480" w:lineRule="auto"/>
        <w:ind w:firstLine="2160"/>
        <w:jc w:val="both"/>
      </w:pPr>
      <w:r>
        <w:t xml:space="preserve">(B)</w:t>
      </w:r>
      <w:r xml:space="preserve">
        <w:t> </w:t>
      </w:r>
      <w:r xml:space="preserve">
        <w:t> </w:t>
      </w:r>
      <w:r>
        <w:t xml:space="preserve">an offense under Section 20.04, Penal Code, regardless of whether the offense is a reportable conviction or adjudication for purposes of Chapter 62, Code of Criminal Procedure;</w:t>
      </w:r>
    </w:p>
    <w:p w:rsidR="003F3435" w:rsidRDefault="0032493E">
      <w:pPr>
        <w:spacing w:line="480" w:lineRule="auto"/>
        <w:ind w:firstLine="2160"/>
        <w:jc w:val="both"/>
      </w:pPr>
      <w:r>
        <w:t xml:space="preserve">(C)</w:t>
      </w:r>
      <w:r xml:space="preserve">
        <w:t> </w:t>
      </w:r>
      <w:r xml:space="preserve">
        <w:t> </w:t>
      </w:r>
      <w:r>
        <w:t xml:space="preserve">an offense under Section 19.02, 19.03, 20A.02, 20A.03, 22.04, 22.041, 25.07, 25.072, or 42.072, Penal Code; or</w:t>
      </w:r>
    </w:p>
    <w:p w:rsidR="003F3435" w:rsidRDefault="0032493E">
      <w:pPr>
        <w:spacing w:line="480" w:lineRule="auto"/>
        <w:ind w:firstLine="2160"/>
        <w:jc w:val="both"/>
      </w:pPr>
      <w:r>
        <w:t xml:space="preserve">(D)</w:t>
      </w:r>
      <w:r xml:space="preserve">
        <w:t> </w:t>
      </w:r>
      <w:r xml:space="preserve">
        <w:t> </w:t>
      </w:r>
      <w:r>
        <w:t xml:space="preserve">any other offense involving family violence, as defined by Section 71.004, Family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defendant was placed on deferred adjudication community supervision for an offense under Section 49.04 or 49.06, Penal Code; or</w:t>
      </w:r>
      <w:r xml:space="preserve">
        <w:t> </w:t>
      </w:r>
      <w:r xml:space="preserve">
        <w:t> </w:t>
      </w:r>
    </w:p>
    <w:p w:rsidR="003F3435" w:rsidRDefault="0032493E">
      <w:pPr>
        <w:spacing w:line="480" w:lineRule="auto"/>
        <w:ind w:firstLine="1440"/>
        <w:jc w:val="both"/>
      </w:pPr>
      <w:r>
        <w:rPr>
          <w:u w:val="single"/>
        </w:rPr>
        <w:t xml:space="preserve">(3)</w:t>
      </w:r>
      <w:r xml:space="preserve">
        <w:t> </w:t>
      </w:r>
      <w:r xml:space="preserve">
        <w:t> </w:t>
      </w:r>
      <w:r>
        <w:t xml:space="preserve">the court makes an affirmative finding that the offense for which the order of nondisclosure of criminal history record information is requested involved family violence, as defined by Section 71.004, Family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49.09(b) and (g),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49.04, </w:t>
      </w:r>
      <w:r>
        <w:rPr>
          <w:u w:val="single"/>
        </w:rPr>
        <w:t xml:space="preserve">49.045,</w:t>
      </w:r>
      <w:r>
        <w:t xml:space="preserve"> 49.05, 49.06, or 49.065 is a felony of the third degree if it is shown on the trial of the offense that the person has previously been convicted:</w:t>
      </w:r>
    </w:p>
    <w:p w:rsidR="003F3435" w:rsidRDefault="0032493E">
      <w:pPr>
        <w:spacing w:line="480" w:lineRule="auto"/>
        <w:ind w:firstLine="1440"/>
        <w:jc w:val="both"/>
      </w:pPr>
      <w:r>
        <w:t xml:space="preserve">(1)</w:t>
      </w:r>
      <w:r xml:space="preserve">
        <w:t> </w:t>
      </w:r>
      <w:r xml:space="preserve">
        <w:t> </w:t>
      </w:r>
      <w:r>
        <w:t xml:space="preserve">one time of an offense under Section 49.08 or an offense under the laws of another state if the offense contains elements that are substantially similar to the elements of an offense under Section 49.08; or</w:t>
      </w:r>
    </w:p>
    <w:p w:rsidR="003F3435" w:rsidRDefault="0032493E">
      <w:pPr>
        <w:spacing w:line="480" w:lineRule="auto"/>
        <w:ind w:firstLine="1440"/>
        <w:jc w:val="both"/>
      </w:pPr>
      <w:r>
        <w:t xml:space="preserve">(2)</w:t>
      </w:r>
      <w:r xml:space="preserve">
        <w:t> </w:t>
      </w:r>
      <w:r xml:space="preserve">
        <w:t> </w:t>
      </w:r>
      <w:r>
        <w:t xml:space="preserve">two times of any other offense relating to the operating of a motor vehicle while intoxicated, operating an aircraft while intoxicated, operating a watercraft while intoxicated, or operating or assembling an amusement ride while intoxicated.</w:t>
      </w:r>
    </w:p>
    <w:p w:rsidR="003F3435" w:rsidRDefault="0032493E">
      <w:pPr>
        <w:spacing w:line="480" w:lineRule="auto"/>
        <w:ind w:firstLine="720"/>
        <w:jc w:val="both"/>
      </w:pPr>
      <w:r>
        <w:t xml:space="preserve">(g)</w:t>
      </w:r>
      <w:r xml:space="preserve">
        <w:t> </w:t>
      </w:r>
      <w:r xml:space="preserve">
        <w:t> </w:t>
      </w:r>
      <w:r>
        <w:t xml:space="preserve">A conviction may be used for purposes of enhancement under this section or enhancement under Subchapter D, Chapter 12, but not under both this section and Subchapter D.  </w:t>
      </w:r>
      <w:r>
        <w:rPr>
          <w:u w:val="single"/>
        </w:rPr>
        <w:t xml:space="preserve">For purposes of this section, a person is considered to have been convicted of an offense under Section 49.04 or 49.06 if the person was placed on deferred adjudication community supervision for the offense under Article 42A.102,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Articles 42A.102 and 42A.408, Code of Criminal Procedure, apply only to the eligibility for deferred adjudication community supervision of a defendant for an offense committed on or after the effective date of this Act.  The eligibility for deferred adjudication community supervision of a defendant for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 49.09,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