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paid to certain credit services organizations in connection with certain extensions of consumer credit.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Finance Code, is amended by adding Section 302.003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w:t>
      </w:r>
      <w:r>
        <w:rPr>
          <w:u w:val="single"/>
        </w:rPr>
        <w:t xml:space="preserve"> </w:t>
      </w:r>
      <w:r>
        <w:rPr>
          <w:u w:val="single"/>
        </w:rPr>
        <w:t xml:space="preserve"> </w:t>
      </w:r>
      <w:r>
        <w:rPr>
          <w:u w:val="single"/>
        </w:rPr>
        <w:t xml:space="preserve">RESTRICTION ON CERTAIN THIRD-PARTY FEES TO OBTAIN, ARRANGE, OR GUARANTEE CERTAIN EXTENSIONS OF CONSUMER CREDIT.  The amount of a fee paid or to be paid to a credit services organization subject to Chapter 393 to assist a consumer in transacting, arranging, guaranteeing, or negotiating an extension of credit or to obtain for a consumer an extension of credit is considered interest for usury purposes under state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extension of credit is secured by a non-purchase money security interest in personal property or is unsecured;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the extension of credit are used for personal, family, or household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 For purposes of this section, a refinance or renewal of an extension of consumer credit is considered made on the date the extension of consumer credit being refinanced or renewed was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