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124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a county to require electronic bids or proposals for competitive bidding.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262.0225, Local Government Code, is amended by amending Subsection (c) and adding Subsection (c-1)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county may receive bids or proposals under this subchapter in hard-copy format or through electronic transmission.  </w:t>
      </w:r>
      <w:r>
        <w:rPr>
          <w:u w:val="single"/>
        </w:rPr>
        <w:t xml:space="preserve">Except as provided by Subsection (c-1), a</w:t>
      </w:r>
      <w:r>
        <w:t xml:space="preserve">  [</w:t>
      </w:r>
      <w:r>
        <w:rPr>
          <w:strike/>
        </w:rPr>
        <w:t xml:space="preserve">A</w:t>
      </w:r>
      <w:r>
        <w:t xml:space="preserve">] county shall accept any bids or proposals submitted in hard-copy format.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commissioners court of a county may by order require submission of bids or proposals under this subchapter through electronic transmission.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124 passed the Senate on March</w:t>
      </w:r>
      <w:r xml:space="preserve">
        <w:t> </w:t>
      </w:r>
      <w:r>
        <w:t xml:space="preserve">27,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124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1,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