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86R663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release on parole of certain inmates serving a sentence for the criminal offense of continuous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under sentence of death, serving a sentence of life imprisonment without parole, </w:t>
      </w:r>
      <w:r>
        <w:rPr>
          <w:u w:val="single"/>
        </w:rPr>
        <w:t xml:space="preserve">serving a sentence for an offense under Section 20A.03, Penal Code, if the offense is based wholly on conduct that constitutes an offense under Section 20A.02(a)(5), (6), (7), or (8) of that code,</w:t>
      </w:r>
      <w:r>
        <w:t xml:space="preserve"> serving a sentence for an offense under Section 21.02, Penal Code, or serving a sentence for an offense under Section 22.021, Penal Code, that is punishable under Subsection (f) of that section is not eligible for release on parole.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508.145(d)(1),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This subsection applies only to an inmate who is serving a sentence for:</w:t>
      </w:r>
    </w:p>
    <w:p w:rsidR="003F3435" w:rsidRDefault="0032493E">
      <w:pPr>
        <w:spacing w:line="480" w:lineRule="auto"/>
        <w:ind w:firstLine="2160"/>
        <w:jc w:val="both"/>
      </w:pPr>
      <w:r>
        <w:t xml:space="preserve">(A)</w:t>
      </w:r>
      <w:r xml:space="preserve">
        <w:t> </w:t>
      </w:r>
      <w:r xml:space="preserve">
        <w:t> </w:t>
      </w:r>
      <w:r>
        <w:t xml:space="preserve">an offense described by Article 42A.054(a), Code of Criminal Procedure, other than an offense under Section 19.03, Penal Code;</w:t>
      </w:r>
    </w:p>
    <w:p w:rsidR="003F3435" w:rsidRDefault="0032493E">
      <w:pPr>
        <w:spacing w:line="480" w:lineRule="auto"/>
        <w:ind w:firstLine="2160"/>
        <w:jc w:val="both"/>
      </w:pPr>
      <w:r>
        <w:t xml:space="preserve">(B)</w:t>
      </w:r>
      <w:r xml:space="preserve">
        <w:t> </w:t>
      </w:r>
      <w:r xml:space="preserve">
        <w:t> </w:t>
      </w:r>
      <w:r>
        <w:t xml:space="preserve">an offense for which the judgment contains an affirmative finding under Article 42A.054(c) or (d), Code of Criminal Procedure;</w:t>
      </w:r>
    </w:p>
    <w:p w:rsidR="003F3435" w:rsidRDefault="0032493E">
      <w:pPr>
        <w:spacing w:line="480" w:lineRule="auto"/>
        <w:ind w:firstLine="2160"/>
        <w:jc w:val="both"/>
      </w:pPr>
      <w:r>
        <w:t xml:space="preserve">(C)</w:t>
      </w:r>
      <w:r xml:space="preserve">
        <w:t> </w:t>
      </w:r>
      <w:r xml:space="preserve">
        <w:t> </w:t>
      </w:r>
      <w:r>
        <w:t xml:space="preserve">an offense under Section 20A.03, Penal Code</w:t>
      </w:r>
      <w:r>
        <w:rPr>
          <w:u w:val="single"/>
        </w:rPr>
        <w:t xml:space="preserve">, if the offense is not wholly based on conduct that constitutes an offense under Section 20A.02(a)(5), (6), (7), or (8) of that code</w:t>
      </w:r>
      <w:r>
        <w:t xml:space="preserve">; or</w:t>
      </w:r>
    </w:p>
    <w:p w:rsidR="003F3435" w:rsidRDefault="0032493E">
      <w:pPr>
        <w:spacing w:line="480" w:lineRule="auto"/>
        <w:ind w:firstLine="2160"/>
        <w:jc w:val="both"/>
      </w:pPr>
      <w:r>
        <w:t xml:space="preserve">(D)</w:t>
      </w:r>
      <w:r xml:space="preserve">
        <w:t> </w:t>
      </w:r>
      <w:r xml:space="preserve">
        <w:t> </w:t>
      </w:r>
      <w:r>
        <w:t xml:space="preserve">an offense under Section 71.02 or 71.023,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