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132</w:t>
      </w:r>
    </w:p>
    <w:p w:rsidR="003F3435" w:rsidRDefault="0032493E">
      <w:pPr>
        <w:ind w:firstLine="720"/>
        <w:jc w:val="both"/>
      </w:pPr>
      <w:r>
        <w:t xml:space="preserve">(Longoria, 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leverage fund program administered by the Texas Economic Development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 E to read as follows:</w:t>
      </w:r>
    </w:p>
    <w:p w:rsidR="003F3435" w:rsidRDefault="0032493E">
      <w:pPr>
        <w:spacing w:line="480" w:lineRule="auto"/>
        <w:jc w:val="center"/>
      </w:pPr>
      <w:r>
        <w:rPr>
          <w:u w:val="single"/>
        </w:rPr>
        <w:t xml:space="preserve">SUBCHAPTER E.  TEXAS LEVERAGE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"leverage fund"</w:t>
      </w:r>
      <w:r>
        <w:rPr>
          <w:u w:val="single"/>
        </w:rPr>
        <w:t xml:space="preserve"> </w:t>
      </w:r>
      <w:r>
        <w:rPr>
          <w:u w:val="single"/>
        </w:rPr>
        <w:t xml:space="preserve">means the Texas leverage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LEVERAGE FUND.  (a)</w:t>
      </w:r>
      <w:r>
        <w:rPr>
          <w:u w:val="single"/>
        </w:rPr>
        <w:t xml:space="preserve"> </w:t>
      </w:r>
      <w:r>
        <w:rPr>
          <w:u w:val="single"/>
        </w:rPr>
        <w:t xml:space="preserve"> </w:t>
      </w:r>
      <w:r>
        <w:rPr>
          <w:u w:val="single"/>
        </w:rPr>
        <w:t xml:space="preserve">The Texas leverage fund is created as a trust fund held outside the state treasury by the comptroller as trustee.  The comptroller shall hold money in the leverage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leverage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leverage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leverage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leverage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leverage fund in investments authorized by law for state funds. </w:t>
      </w:r>
      <w:r>
        <w:rPr>
          <w:u w:val="single"/>
        </w:rPr>
        <w:t xml:space="preserve"> </w:t>
      </w:r>
      <w:r>
        <w:rPr>
          <w:u w:val="single"/>
        </w:rPr>
        <w:t xml:space="preserve">Earnings on the investments shall be credited to the leverage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leverage fund for the purposes specified by and according to the procedures established by this subchapter.  This state may take action with respect to the leverage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w:t>
      </w:r>
      <w:r>
        <w:rPr>
          <w:u w:val="single"/>
        </w:rPr>
        <w:t xml:space="preserve"> </w:t>
      </w:r>
      <w:r>
        <w:rPr>
          <w:u w:val="single"/>
        </w:rPr>
        <w:t xml:space="preserve"> </w:t>
      </w:r>
      <w:r>
        <w:rPr>
          <w:u w:val="single"/>
        </w:rPr>
        <w:t xml:space="preserve">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w:t>
      </w:r>
      <w:r>
        <w:rPr>
          <w:u w:val="single"/>
        </w:rPr>
        <w:t xml:space="preserve"> </w:t>
      </w:r>
      <w:r>
        <w:rPr>
          <w:u w:val="single"/>
        </w:rPr>
        <w:t xml:space="preserve"> </w:t>
      </w:r>
      <w:r>
        <w:rPr>
          <w:u w:val="single"/>
        </w:rPr>
        <w:t xml:space="preserve">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w:t>
      </w:r>
      <w:r>
        <w:rPr>
          <w:u w:val="single"/>
        </w:rPr>
        <w:t xml:space="preserve"> </w:t>
      </w:r>
      <w:r>
        <w:rPr>
          <w:u w:val="single"/>
        </w:rPr>
        <w:t xml:space="preserve"> </w:t>
      </w:r>
      <w:r>
        <w:rPr>
          <w:u w:val="single"/>
        </w:rPr>
        <w:t xml:space="preserve">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w:t>
      </w:r>
      <w:r>
        <w:rPr>
          <w:u w:val="single"/>
        </w:rPr>
        <w:t xml:space="preserve"> </w:t>
      </w:r>
      <w:r>
        <w:rPr>
          <w:u w:val="single"/>
        </w:rPr>
        <w:t xml:space="preserve">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w:t>
      </w:r>
      <w:r>
        <w:rPr>
          <w:u w:val="single"/>
        </w:rPr>
        <w:t xml:space="preserve"> </w:t>
      </w:r>
      <w:r>
        <w:rPr>
          <w:u w:val="single"/>
        </w:rPr>
        <w:t xml:space="preserve">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w:t>
      </w:r>
      <w:r>
        <w:rPr>
          <w:u w:val="single"/>
        </w:rPr>
        <w:t xml:space="preserve"> </w:t>
      </w:r>
      <w:r>
        <w:rPr>
          <w:u w:val="single"/>
        </w:rPr>
        <w:t xml:space="preserve"> </w:t>
      </w:r>
      <w:r>
        <w:rPr>
          <w:u w:val="single"/>
        </w:rPr>
        <w:t xml:space="preserve">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w:t>
      </w:r>
      <w:r>
        <w:rPr>
          <w:u w:val="single"/>
        </w:rPr>
        <w:t xml:space="preserve"> </w:t>
      </w:r>
      <w:r>
        <w:rPr>
          <w:u w:val="single"/>
        </w:rPr>
        <w:t xml:space="preserve"> </w:t>
      </w:r>
      <w:r>
        <w:rPr>
          <w:u w:val="single"/>
        </w:rPr>
        <w:t xml:space="preserve">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LEVERAGE FUND.  The bank shall administer the leverage fund.  In administering the leverage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w:t>
      </w:r>
      <w:r>
        <w:rPr>
          <w:u w:val="single"/>
        </w:rPr>
        <w:t xml:space="preserve"> </w:t>
      </w:r>
      <w:r>
        <w:rPr>
          <w:u w:val="single"/>
        </w:rPr>
        <w:t xml:space="preserve"> </w:t>
      </w:r>
      <w:r>
        <w:rPr>
          <w:u w:val="single"/>
        </w:rPr>
        <w:t xml:space="preserve">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leverage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leverage fund program as amended by this Act authorizes the continued operation of the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Economic Development and Tourism Office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Economic Development Bank is required to implement a provision of this Act only if the legislature appropriates money specifically for that purpose.  If the legislature does not appropriate money specifically for that purpose, the bank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attorney general is required to implement a provision of this Act only if the legislature appropriates money specifically for that purpose.  If the legislature does not appropriate money specifically for that purpose, the attorney general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