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86R1127 PAM-D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alternative methods to satisfy certain public high school graduation requirements for certain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12.104(b-3),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(b-3)</w:t>
      </w:r>
      <w:r xml:space="preserve">
        <w:t> </w:t>
      </w:r>
      <w:r xml:space="preserve">
        <w:t> </w:t>
      </w:r>
      <w:r>
        <w:t xml:space="preserve">An open-enrollment charter school is subject to the graduation qualification procedure established by the commissioner under Section 28.02541.  This subsection expires September 1, </w:t>
      </w:r>
      <w:r>
        <w:rPr>
          <w:u w:val="single"/>
        </w:rPr>
        <w:t xml:space="preserve">2021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28.02541(g),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This section expires September 1, </w:t>
      </w:r>
      <w:r>
        <w:rPr>
          <w:u w:val="single"/>
        </w:rPr>
        <w:t xml:space="preserve">2021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