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86R1765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certain lighting equipment on escort flag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547.305, Transportation Code, is amended by adding Subsection (e-3) and amending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escort flag vehicle may be equipped with alternating or flashing blue and amber lights.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"Escort flag vehicle" means a vehicle that precedes or follows an oversize or overweight vehicle described by Subtitle E for the purpose of facilitating the safe movement of the oversize or overweight vehicle over roads.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"Security patrol vehicle" means a motor vehicle being used for the purpose of providing security services by: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guard company described by Section 1702.108, Occupations Code;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security officer as defined by Section 1702.002,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"Tow truck" means a motor vehicle or mechanical device that is adapted or used to tow, winch, or move a disabled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