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86R1157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170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reimbursement of rural hospitals participating in the Medicaid managed care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533, Government Code, is amended by adding Section 533.0041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533.0041.</w:t>
      </w:r>
      <w:r>
        <w:rPr>
          <w:u w:val="single"/>
        </w:rPr>
        <w:t xml:space="preserve"> </w:t>
      </w:r>
      <w:r>
        <w:rPr>
          <w:u w:val="single"/>
        </w:rPr>
        <w:t xml:space="preserve"> </w:t>
      </w:r>
      <w:r>
        <w:rPr>
          <w:u w:val="single"/>
        </w:rPr>
        <w:t xml:space="preserve">REIMBURSEMENT METHODOLOGY FOR RURAL HOSPITALS.  To the extent allowed by federal law and notwithstanding any state law, the executive commissioner shall by rule adopt a reimbursement methodology for the payment of rural hospitals participating in the Medicaid managed care program that ensures the rural hospitals are reimbursed on an individual basis that allows the rural hospitals to fully recover allowable costs incurred in providing services to recipients.  In adopting rules under this section, the executive commissioner: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adopt a methodology that requires: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commission to directly reimburse rural hospitals for allowable costs;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managed care organization to reimburse rural hospitals;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define "allowable costs" and "rural hospital"</w:t>
      </w:r>
      <w:r>
        <w:rPr>
          <w:u w:val="single"/>
        </w:rPr>
        <w:t xml:space="preserve"> </w:t>
      </w:r>
      <w:r>
        <w:rPr>
          <w:u w:val="single"/>
        </w:rPr>
        <w:t xml:space="preserve">for purposes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