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state to reimburse counties for certain costs incurred in confining certain persons arrested following release from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508, Government Code, is amended by adding Section 508.285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508.285.</w:t>
      </w:r>
      <w:r>
        <w:rPr>
          <w:u w:val="single"/>
        </w:rPr>
        <w:t xml:space="preserve"> </w:t>
      </w:r>
      <w:r>
        <w:rPr>
          <w:u w:val="single"/>
        </w:rPr>
        <w:t xml:space="preserve"> </w:t>
      </w:r>
      <w:r>
        <w:rPr>
          <w:u w:val="single"/>
        </w:rPr>
        <w:t xml:space="preserve">REIMBURSEMENT TO COUNTIES.  (a)  A county is entitled to reimbursement from the department for the following amounts for confining a releasee or person described by Section 508.281(a) in a county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releasee or person confined only on a charge that the releasee or person has committed an administrative violation of release or confined after an ineligible release: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 or other special needs expenses incurred during any day the releasee or person is confined in the county jail;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costs of confinement, other than those described by Paragraph (A), incurred by the county beginning on the 16th day of the releasee's or person's confinement in the county jail;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releasee or person confined following arrest for the alleged commission of an offense after release: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 or other special needs expenses incurred during any day the releasee or person is confined in the county jail after the date on which the sheriff notifies the department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releasee or person has discharged the sentence for the offense;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prosecution of the alleged offense has been dismissed by the attorney representing the state in the manner provided by Article 32.02, Code of Criminal Procedure;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costs of confinement, other than those described by Paragraph (A), incurred by the county beginning on the 16th day the releasee or person is confined in the county jail after the date on which the sheriff notifies the department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releasee or person has discharged the sentence for the offense;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prosecution of the alleged offense has been dismissed by the attorney representing the state in the manner provided by Article 32.02,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shall promptly inform the department that the county is confining a releasee or person described by Section 508.281(a).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15th day of each quarter of a county's fiscal year, the county judge shall certify to the comptroller of public accounts the amount of medical or other special needs expenses and costs of confinement incurred during the preceding fiscal quarter for which the county is entitled to compensation under Subsection (a).  The comptroller shall issue a warrant in that amount to the commissioners court of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