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86R31889 AJA-D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175</w:t>
      </w:r>
    </w:p>
    <w:p w:rsidR="003F3435" w:rsidRDefault="0032493E">
      <w:pPr>
        <w:ind w:firstLine="720"/>
        <w:jc w:val="both"/>
      </w:pPr>
      <w:r>
        <w:t xml:space="preserve">(Paddie)</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175:</w:t>
      </w:r>
    </w:p>
    <w:p w:rsidR="003F3435" w:rsidRDefault="0032493E">
      <w:pPr>
        <w:spacing w:line="480" w:lineRule="auto"/>
        <w:jc w:val="both"/>
        <w:tabs>
          <w:tab w:val="right" w:leader="none" w:pos="9350"/>
        </w:tabs>
      </w:pPr>
      <w:r>
        <w:t xml:space="preserve">By:</w:t>
      </w:r>
      <w:r xml:space="preserve">
        <w:t> </w:t>
      </w:r>
      <w:r xml:space="preserve">
        <w:t> </w:t>
      </w:r>
      <w:r>
        <w:t xml:space="preserve">Craddick</w:t>
      </w:r>
      <w:r xml:space="preserve">
        <w:tab wTab="150" tlc="none" cTlc="0"/>
      </w:r>
      <w:r>
        <w:t xml:space="preserve">C.S.S.B.</w:t>
      </w:r>
      <w:r xml:space="preserve">
        <w:t> </w:t>
      </w:r>
      <w:r>
        <w:t xml:space="preserve">No.</w:t>
      </w:r>
      <w:r xml:space="preserve">
        <w:t> </w:t>
      </w:r>
      <w:r>
        <w:t xml:space="preserve">175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eminent domain reporting requirements for certain entities.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2206.154, Government Code, is amended by amending Subsection (a) and adding Subsections (b-1) and (b-2) to read as follows:</w:t>
      </w:r>
    </w:p>
    <w:p w:rsidR="003F3435" w:rsidRDefault="0032493E">
      <w:pPr>
        <w:spacing w:line="480" w:lineRule="auto"/>
        <w:ind w:firstLine="720"/>
        <w:jc w:val="both"/>
      </w:pPr>
      <w:r>
        <w:t xml:space="preserve">(a)</w:t>
      </w:r>
      <w:r xml:space="preserve">
        <w:t> </w:t>
      </w:r>
      <w:r xml:space="preserve">
        <w:t> </w:t>
      </w:r>
      <w:r>
        <w:t xml:space="preserve">Except as provided by </w:t>
      </w:r>
      <w:r>
        <w:rPr>
          <w:u w:val="single"/>
        </w:rPr>
        <w:t xml:space="preserve">Subsections</w:t>
      </w:r>
      <w:r>
        <w:t xml:space="preserve"> [</w:t>
      </w:r>
      <w:r>
        <w:rPr>
          <w:strike/>
        </w:rPr>
        <w:t xml:space="preserve">Subsection</w:t>
      </w:r>
      <w:r>
        <w:t xml:space="preserve">] (b) </w:t>
      </w:r>
      <w:r>
        <w:rPr>
          <w:u w:val="single"/>
        </w:rPr>
        <w:t xml:space="preserve">and (b-1)</w:t>
      </w:r>
      <w:r>
        <w:t xml:space="preserve">, not later than February 1 of each year, an entity described by Section 2206.151 shall submit to the comptroller a report containing records and other information specified by this subchapter for the purpose of providing the comptroller with information to maintain the eminent domain database under Section 2206.153. </w:t>
      </w:r>
      <w:r>
        <w:t xml:space="preserve"> </w:t>
      </w:r>
      <w:r>
        <w:t xml:space="preserve">The entity shall submit the report in a form and in the manner prescribed by the comptroller.</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political subdivision described by Subsection (b-2) is required to file an annual report under Subsection (a) only if the political subdivision's eminent domain authority information has changed from the information reported in the most recent report filed by the political subdivision under this section.  If for the current annual reporting period the political subdivision's eminent domain authority information is the same as the information reflected for the political subdivision in the eminent domain database for the previous annual reporting period, the political subdivision, not later than February 1 of the current annual reporting period, shall confirm the accuracy of the information by electronically updating the political subdivision's previously filed report with the comptroller in the manner prescribed by the comptroller.</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Subsection (b-1) applies to the following political subdivisions: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public school district located in a county with a population of less than 75,000;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municipality or county with a population of less than 75,000;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district created under Section 59, Article XVI, or Section 52, Article III, Texas Constitution, with a population of less than 75,000.</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